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62A0" w:rsidRDefault="000E62A0" w:rsidP="000E62A0">
      <w:pPr>
        <w:pStyle w:val="Default"/>
      </w:pPr>
    </w:p>
    <w:p w:rsidR="000E62A0" w:rsidRDefault="000E62A0" w:rsidP="00544AA3">
      <w:r>
        <w:t xml:space="preserve"> </w:t>
      </w:r>
      <w:r>
        <w:rPr>
          <w:rStyle w:val="A0"/>
        </w:rPr>
        <w:t>An Investigation of LED Street Lighting’s Impact on Sky Glow</w:t>
      </w:r>
    </w:p>
    <w:p w:rsidR="000E62A0" w:rsidRDefault="000E62A0" w:rsidP="000E62A0">
      <w:pPr>
        <w:pStyle w:val="Pa1"/>
        <w:spacing w:after="80"/>
        <w:rPr>
          <w:rFonts w:cs="NCFLW L+ Gotham Narrow"/>
          <w:color w:val="000000"/>
          <w:sz w:val="26"/>
          <w:szCs w:val="26"/>
        </w:rPr>
      </w:pPr>
      <w:r>
        <w:rPr>
          <w:rFonts w:cs="NCFLW L+ Gotham Narrow"/>
          <w:color w:val="000000"/>
          <w:sz w:val="26"/>
          <w:szCs w:val="26"/>
        </w:rPr>
        <w:t>April 2017</w:t>
      </w:r>
    </w:p>
    <w:p w:rsidR="000E62A0" w:rsidRDefault="000E62A0" w:rsidP="000E62A0">
      <w:pPr>
        <w:pStyle w:val="Pa2"/>
        <w:spacing w:after="80"/>
        <w:rPr>
          <w:rFonts w:cs="NCFLW L+ Gotham Narrow"/>
          <w:color w:val="000000"/>
          <w:sz w:val="22"/>
          <w:szCs w:val="22"/>
        </w:rPr>
      </w:pPr>
      <w:r>
        <w:rPr>
          <w:rStyle w:val="A2"/>
        </w:rPr>
        <w:t>Prepared for:</w:t>
      </w:r>
    </w:p>
    <w:p w:rsidR="000E62A0" w:rsidRDefault="000E62A0" w:rsidP="000E62A0">
      <w:pPr>
        <w:pStyle w:val="Pa3"/>
        <w:rPr>
          <w:rFonts w:cs="NCFLW L+ Gotham Narrow"/>
          <w:color w:val="000000"/>
          <w:sz w:val="22"/>
          <w:szCs w:val="22"/>
        </w:rPr>
      </w:pPr>
      <w:r>
        <w:rPr>
          <w:rStyle w:val="A2"/>
        </w:rPr>
        <w:t>Solid-State Lighting Program</w:t>
      </w:r>
    </w:p>
    <w:p w:rsidR="000E62A0" w:rsidRDefault="000E62A0" w:rsidP="000E62A0">
      <w:pPr>
        <w:pStyle w:val="Pa3"/>
        <w:rPr>
          <w:rFonts w:cs="NCFLW L+ Gotham Narrow"/>
          <w:color w:val="000000"/>
          <w:sz w:val="22"/>
          <w:szCs w:val="22"/>
        </w:rPr>
      </w:pPr>
      <w:r>
        <w:rPr>
          <w:rStyle w:val="A2"/>
        </w:rPr>
        <w:t xml:space="preserve">Building Technologies OfficeOffice of Energy Efficiency and </w:t>
      </w:r>
    </w:p>
    <w:p w:rsidR="000E62A0" w:rsidRDefault="000E62A0" w:rsidP="000E62A0">
      <w:pPr>
        <w:pStyle w:val="Pa3"/>
        <w:rPr>
          <w:rFonts w:cs="NCFLW L+ Gotham Narrow"/>
          <w:color w:val="000000"/>
          <w:sz w:val="22"/>
          <w:szCs w:val="22"/>
        </w:rPr>
      </w:pPr>
      <w:r>
        <w:rPr>
          <w:rStyle w:val="A2"/>
        </w:rPr>
        <w:t>Renewable Energy</w:t>
      </w:r>
    </w:p>
    <w:p w:rsidR="000E62A0" w:rsidRDefault="000E62A0" w:rsidP="000E62A0">
      <w:pPr>
        <w:pStyle w:val="Pa3"/>
        <w:rPr>
          <w:rFonts w:cs="NCFLW L+ Gotham Narrow"/>
          <w:color w:val="000000"/>
          <w:sz w:val="22"/>
          <w:szCs w:val="22"/>
        </w:rPr>
      </w:pPr>
      <w:r>
        <w:rPr>
          <w:rStyle w:val="A2"/>
        </w:rPr>
        <w:t>U.S. Department of Energy</w:t>
      </w:r>
    </w:p>
    <w:p w:rsidR="003D36E2" w:rsidRDefault="000E62A0" w:rsidP="000E62A0">
      <w:pPr>
        <w:rPr>
          <w:rStyle w:val="A2"/>
        </w:rPr>
      </w:pPr>
      <w:r>
        <w:rPr>
          <w:rStyle w:val="A2"/>
        </w:rPr>
        <w:t>Prepared by:</w:t>
      </w:r>
    </w:p>
    <w:p w:rsidR="000E62A0" w:rsidRDefault="000E62A0" w:rsidP="000E62A0">
      <w:pPr>
        <w:rPr>
          <w:rStyle w:val="A2"/>
        </w:rPr>
      </w:pPr>
      <w:r>
        <w:t xml:space="preserve"> </w:t>
      </w:r>
      <w:r>
        <w:rPr>
          <w:rStyle w:val="A2"/>
        </w:rPr>
        <w:t>Pacific Northwest National Laboratory</w:t>
      </w:r>
    </w:p>
    <w:p w:rsidR="000E62A0" w:rsidRDefault="000E62A0" w:rsidP="000E62A0">
      <w:pPr>
        <w:rPr>
          <w:rStyle w:val="A2"/>
        </w:rPr>
      </w:pPr>
    </w:p>
    <w:p w:rsidR="000E62A0" w:rsidRDefault="000E62A0">
      <w:pPr>
        <w:rPr>
          <w:rStyle w:val="A2"/>
        </w:rPr>
      </w:pPr>
      <w:r>
        <w:rPr>
          <w:rStyle w:val="A2"/>
        </w:rPr>
        <w:br w:type="page"/>
      </w:r>
    </w:p>
    <w:p w:rsidR="000E62A0" w:rsidRDefault="008262A6" w:rsidP="00544AA3">
      <w:r>
        <w:lastRenderedPageBreak/>
        <w:t xml:space="preserve">Un'indagine sull'impatto </w:t>
      </w:r>
      <w:r w:rsidR="00541AFA">
        <w:t>della</w:t>
      </w:r>
      <w:r w:rsidR="00541AFA" w:rsidRPr="00541AFA">
        <w:t xml:space="preserve"> illuminazione stradale a</w:t>
      </w:r>
      <w:r w:rsidR="00541AFA">
        <w:t xml:space="preserve"> LED sul chiarore del cielo</w:t>
      </w:r>
      <w:r>
        <w:t xml:space="preserve"> notturno</w:t>
      </w:r>
    </w:p>
    <w:p w:rsidR="000E62A0" w:rsidRDefault="000E62A0" w:rsidP="000E62A0">
      <w:pPr>
        <w:pStyle w:val="Default"/>
        <w:rPr>
          <w:sz w:val="23"/>
          <w:szCs w:val="23"/>
        </w:rPr>
      </w:pPr>
      <w:r>
        <w:rPr>
          <w:sz w:val="23"/>
          <w:szCs w:val="23"/>
        </w:rPr>
        <w:t xml:space="preserve">Prepared in support of the DOE Solid-State Lighting Technology Program </w:t>
      </w:r>
    </w:p>
    <w:p w:rsidR="000E62A0" w:rsidRDefault="000E62A0" w:rsidP="000E62A0">
      <w:pPr>
        <w:pStyle w:val="Default"/>
        <w:rPr>
          <w:sz w:val="23"/>
          <w:szCs w:val="23"/>
        </w:rPr>
      </w:pPr>
      <w:r>
        <w:rPr>
          <w:sz w:val="23"/>
          <w:szCs w:val="23"/>
        </w:rPr>
        <w:t xml:space="preserve">Study Participants: Pacific Northwest National Laboratory </w:t>
      </w:r>
    </w:p>
    <w:p w:rsidR="000E62A0" w:rsidRDefault="000E62A0" w:rsidP="000E62A0">
      <w:pPr>
        <w:pStyle w:val="Default"/>
        <w:rPr>
          <w:sz w:val="23"/>
          <w:szCs w:val="23"/>
        </w:rPr>
      </w:pPr>
      <w:r>
        <w:rPr>
          <w:sz w:val="23"/>
          <w:szCs w:val="23"/>
        </w:rPr>
        <w:t xml:space="preserve">U.S. Department of Energy Slovak Academy of Sciences </w:t>
      </w:r>
    </w:p>
    <w:p w:rsidR="000E62A0" w:rsidRDefault="000E62A0" w:rsidP="000E62A0">
      <w:pPr>
        <w:pStyle w:val="Default"/>
        <w:rPr>
          <w:sz w:val="23"/>
          <w:szCs w:val="23"/>
        </w:rPr>
      </w:pPr>
      <w:r>
        <w:rPr>
          <w:sz w:val="23"/>
          <w:szCs w:val="23"/>
        </w:rPr>
        <w:t xml:space="preserve">Cégep de Sherbrooke </w:t>
      </w:r>
    </w:p>
    <w:p w:rsidR="000E62A0" w:rsidRDefault="000E62A0" w:rsidP="000E62A0">
      <w:pPr>
        <w:pStyle w:val="Default"/>
        <w:rPr>
          <w:sz w:val="23"/>
          <w:szCs w:val="23"/>
        </w:rPr>
      </w:pPr>
      <w:r>
        <w:rPr>
          <w:sz w:val="23"/>
          <w:szCs w:val="23"/>
        </w:rPr>
        <w:t xml:space="preserve">Interdisciplinary Center for Metropolitan Studies </w:t>
      </w:r>
    </w:p>
    <w:p w:rsidR="000E62A0" w:rsidRDefault="000E62A0" w:rsidP="000E62A0">
      <w:pPr>
        <w:pStyle w:val="Default"/>
        <w:rPr>
          <w:sz w:val="23"/>
          <w:szCs w:val="23"/>
        </w:rPr>
      </w:pPr>
      <w:r>
        <w:rPr>
          <w:sz w:val="23"/>
          <w:szCs w:val="23"/>
        </w:rPr>
        <w:t xml:space="preserve">Bruce Kinzey </w:t>
      </w:r>
    </w:p>
    <w:p w:rsidR="000E62A0" w:rsidRDefault="000E62A0" w:rsidP="000E62A0">
      <w:pPr>
        <w:pStyle w:val="Default"/>
        <w:rPr>
          <w:sz w:val="23"/>
          <w:szCs w:val="23"/>
        </w:rPr>
      </w:pPr>
      <w:r>
        <w:rPr>
          <w:sz w:val="23"/>
          <w:szCs w:val="23"/>
        </w:rPr>
        <w:t xml:space="preserve">Tess E. Perrin </w:t>
      </w:r>
    </w:p>
    <w:p w:rsidR="000E62A0" w:rsidRDefault="000E62A0" w:rsidP="000E62A0">
      <w:pPr>
        <w:pStyle w:val="Default"/>
        <w:rPr>
          <w:sz w:val="23"/>
          <w:szCs w:val="23"/>
        </w:rPr>
      </w:pPr>
      <w:r>
        <w:rPr>
          <w:sz w:val="23"/>
          <w:szCs w:val="23"/>
        </w:rPr>
        <w:t xml:space="preserve">Naomi J. Miller </w:t>
      </w:r>
    </w:p>
    <w:p w:rsidR="000E62A0" w:rsidRDefault="000E62A0" w:rsidP="000E62A0">
      <w:pPr>
        <w:pStyle w:val="Default"/>
        <w:rPr>
          <w:sz w:val="23"/>
          <w:szCs w:val="23"/>
        </w:rPr>
      </w:pPr>
      <w:r>
        <w:rPr>
          <w:sz w:val="23"/>
          <w:szCs w:val="23"/>
        </w:rPr>
        <w:t xml:space="preserve">Miroslav Kocifaj </w:t>
      </w:r>
    </w:p>
    <w:p w:rsidR="000E62A0" w:rsidRDefault="000E62A0" w:rsidP="000E62A0">
      <w:pPr>
        <w:pStyle w:val="Default"/>
        <w:rPr>
          <w:sz w:val="23"/>
          <w:szCs w:val="23"/>
        </w:rPr>
      </w:pPr>
      <w:r>
        <w:rPr>
          <w:sz w:val="23"/>
          <w:szCs w:val="23"/>
        </w:rPr>
        <w:t xml:space="preserve">Martin Aubé </w:t>
      </w:r>
    </w:p>
    <w:p w:rsidR="000E62A0" w:rsidRDefault="000E62A0" w:rsidP="000E62A0">
      <w:pPr>
        <w:pStyle w:val="Default"/>
        <w:rPr>
          <w:sz w:val="23"/>
          <w:szCs w:val="23"/>
        </w:rPr>
      </w:pPr>
      <w:r>
        <w:rPr>
          <w:sz w:val="23"/>
          <w:szCs w:val="23"/>
        </w:rPr>
        <w:t xml:space="preserve">Héctor S. Lamphar </w:t>
      </w:r>
    </w:p>
    <w:p w:rsidR="000E62A0" w:rsidRDefault="000E62A0" w:rsidP="000E62A0">
      <w:pPr>
        <w:pStyle w:val="Default"/>
        <w:rPr>
          <w:sz w:val="23"/>
          <w:szCs w:val="23"/>
        </w:rPr>
      </w:pPr>
      <w:r>
        <w:rPr>
          <w:sz w:val="23"/>
          <w:szCs w:val="23"/>
        </w:rPr>
        <w:t xml:space="preserve">April 2017 </w:t>
      </w:r>
    </w:p>
    <w:p w:rsidR="000E62A0" w:rsidRDefault="000E62A0" w:rsidP="000E62A0">
      <w:pPr>
        <w:pStyle w:val="Default"/>
        <w:rPr>
          <w:sz w:val="23"/>
          <w:szCs w:val="23"/>
        </w:rPr>
      </w:pPr>
      <w:r>
        <w:rPr>
          <w:sz w:val="23"/>
          <w:szCs w:val="23"/>
        </w:rPr>
        <w:t xml:space="preserve">Prepared for: </w:t>
      </w:r>
    </w:p>
    <w:p w:rsidR="000E62A0" w:rsidRDefault="000E62A0" w:rsidP="000E62A0">
      <w:pPr>
        <w:pStyle w:val="Default"/>
        <w:rPr>
          <w:sz w:val="23"/>
          <w:szCs w:val="23"/>
        </w:rPr>
      </w:pPr>
      <w:r>
        <w:rPr>
          <w:sz w:val="23"/>
          <w:szCs w:val="23"/>
        </w:rPr>
        <w:t xml:space="preserve">U.S. Department of Energy </w:t>
      </w:r>
    </w:p>
    <w:p w:rsidR="000E62A0" w:rsidRDefault="000E62A0" w:rsidP="000E62A0">
      <w:pPr>
        <w:pStyle w:val="Default"/>
        <w:rPr>
          <w:sz w:val="23"/>
          <w:szCs w:val="23"/>
        </w:rPr>
      </w:pPr>
      <w:r>
        <w:rPr>
          <w:sz w:val="23"/>
          <w:szCs w:val="23"/>
        </w:rPr>
        <w:t xml:space="preserve">under Contract DE-AC05-76RL01830 </w:t>
      </w:r>
    </w:p>
    <w:p w:rsidR="000E62A0" w:rsidRDefault="000E62A0" w:rsidP="000E62A0">
      <w:pPr>
        <w:pStyle w:val="Default"/>
        <w:rPr>
          <w:sz w:val="23"/>
          <w:szCs w:val="23"/>
        </w:rPr>
      </w:pPr>
      <w:r>
        <w:rPr>
          <w:sz w:val="23"/>
          <w:szCs w:val="23"/>
        </w:rPr>
        <w:t xml:space="preserve">Pacific Northwest National Laboratory </w:t>
      </w:r>
    </w:p>
    <w:p w:rsidR="000E62A0" w:rsidRDefault="000E62A0" w:rsidP="000E62A0">
      <w:pPr>
        <w:rPr>
          <w:sz w:val="23"/>
          <w:szCs w:val="23"/>
        </w:rPr>
      </w:pPr>
      <w:r>
        <w:rPr>
          <w:sz w:val="23"/>
          <w:szCs w:val="23"/>
        </w:rPr>
        <w:t>Richland, Washington 99352</w:t>
      </w:r>
    </w:p>
    <w:p w:rsidR="0076118E" w:rsidRDefault="0076118E" w:rsidP="000E62A0">
      <w:pPr>
        <w:rPr>
          <w:sz w:val="23"/>
          <w:szCs w:val="23"/>
        </w:rPr>
      </w:pPr>
    </w:p>
    <w:p w:rsidR="0076118E" w:rsidRDefault="0076118E" w:rsidP="0076118E">
      <w:pPr>
        <w:rPr>
          <w:sz w:val="23"/>
          <w:szCs w:val="23"/>
        </w:rPr>
      </w:pPr>
      <w:r>
        <w:rPr>
          <w:sz w:val="23"/>
          <w:szCs w:val="23"/>
        </w:rPr>
        <w:t>Traduzione Fabio Piferi</w:t>
      </w:r>
    </w:p>
    <w:p w:rsidR="0076118E" w:rsidRDefault="000A182B" w:rsidP="0076118E">
      <w:pPr>
        <w:rPr>
          <w:sz w:val="23"/>
          <w:szCs w:val="23"/>
        </w:rPr>
      </w:pPr>
      <w:hyperlink r:id="rId8" w:history="1">
        <w:r w:rsidR="0076118E" w:rsidRPr="000B7244">
          <w:rPr>
            <w:rStyle w:val="Collegamentoipertestuale"/>
            <w:sz w:val="23"/>
            <w:szCs w:val="23"/>
          </w:rPr>
          <w:t>https://www.fabiopiferi.it/</w:t>
        </w:r>
      </w:hyperlink>
    </w:p>
    <w:p w:rsidR="0076118E" w:rsidRDefault="0076118E" w:rsidP="000E62A0">
      <w:pPr>
        <w:rPr>
          <w:sz w:val="23"/>
          <w:szCs w:val="23"/>
        </w:rPr>
      </w:pPr>
    </w:p>
    <w:p w:rsidR="000E62A0" w:rsidRDefault="000E62A0">
      <w:pPr>
        <w:rPr>
          <w:sz w:val="23"/>
          <w:szCs w:val="23"/>
        </w:rPr>
      </w:pPr>
      <w:r>
        <w:rPr>
          <w:sz w:val="23"/>
          <w:szCs w:val="23"/>
        </w:rPr>
        <w:br w:type="page"/>
      </w:r>
    </w:p>
    <w:p w:rsidR="00541AFA" w:rsidRDefault="00541AFA" w:rsidP="00541AFA">
      <w:pPr>
        <w:jc w:val="center"/>
      </w:pPr>
      <w:r>
        <w:lastRenderedPageBreak/>
        <w:t>NEGAZIONE DI RESPONSABILITÀ</w:t>
      </w:r>
    </w:p>
    <w:p w:rsidR="00AC753A" w:rsidRDefault="00541AFA">
      <w:r>
        <w:t>Questo r</w:t>
      </w:r>
      <w:r w:rsidR="008B51A1">
        <w:t>apporto è stato redatto come re</w:t>
      </w:r>
      <w:r>
        <w:t>l</w:t>
      </w:r>
      <w:r w:rsidR="008B51A1">
        <w:t>a</w:t>
      </w:r>
      <w:r>
        <w:t>zione di un lavoro patrocinato da una agenzia governativa degli Stati Uniti. Né il governo degli Stati Uniti</w:t>
      </w:r>
      <w:r w:rsidR="003F5CA7">
        <w:t xml:space="preserve">, né altre agenzie, né l’Istituto Memorial Batttelle e neppure i loro dipendenti si assumono alcuna garanzia, espressa o implicita e nessuna implicazione legale o responsabilità per l’accuratezza, completezza o usabilità di qualsiasi informazione, apparato, prodotto o processo </w:t>
      </w:r>
      <w:r w:rsidR="00AC753A">
        <w:t>descritto o che la sua utilizzazione non violerebbe i diritti di proprietà privata. I riferimenti a qualsiasi prodotto, processo o servizio commerciale specifico per nome commerciale e marchio, o produttore altrimenti non necessariamente costituiscono o implicano la sua approvazione, raccomandazione o approvazione da parte del Governo degli Stati Uniti o di qualsiasi sua agenzia, o del Battelle Memorial Institute. Le opinioni e i pareri degli autori espressi nel presente documento non necessariamente indicano o riflettono quelli del governo degli Stati Uniti o di qualsiasi sua agenzia.</w:t>
      </w:r>
    </w:p>
    <w:p w:rsidR="00AC753A" w:rsidRDefault="00AC753A"/>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PACIFIC NORTHWEST NATIONAL LABORATORY</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operated by</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BATTELLE</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for the</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UNITED STATES DEPARTMENT OF ENERGY</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under Contract DE-A C05-76RL01830</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Printed in the United States of America</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Available to DOE and DOE contractols from the</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Ofﬁce of Scientiﬁc and Technical Information,</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PO. Box 62, Oak Ridge, TN 3783170062;</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ph: (865) 5763401</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fax: (865) 5765728</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Pr>
          <w:rFonts w:asciiTheme="minorHAnsi" w:eastAsiaTheme="minorHAnsi" w:hAnsiTheme="minorHAnsi" w:cstheme="minorBidi"/>
          <w:sz w:val="22"/>
          <w:szCs w:val="22"/>
          <w:lang w:val="it-IT" w:eastAsia="en-US" w:bidi="ar-SA"/>
        </w:rPr>
        <w:t>email: reports@ado</w:t>
      </w:r>
      <w:r w:rsidRPr="00AC753A">
        <w:rPr>
          <w:rFonts w:asciiTheme="minorHAnsi" w:eastAsiaTheme="minorHAnsi" w:hAnsiTheme="minorHAnsi" w:cstheme="minorBidi"/>
          <w:sz w:val="22"/>
          <w:szCs w:val="22"/>
          <w:lang w:val="it-IT" w:eastAsia="en-US" w:bidi="ar-SA"/>
        </w:rPr>
        <w:t>nis.osti.gov</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Available to the public from the National Technical Information Service</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5301 Shawnee Rd., Alexandria, VA 22312</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ph: (800) 553-NTIS (6847)</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email: orders@ntis.gov &lt;http:llwww.ntis.gov/about/form.aspx&gt;</w:t>
      </w:r>
    </w:p>
    <w:p w:rsidR="00AC753A" w:rsidRPr="00AC753A" w:rsidRDefault="00AC753A" w:rsidP="00AC753A">
      <w:pPr>
        <w:pStyle w:val="PreformattedText"/>
        <w:jc w:val="center"/>
        <w:rPr>
          <w:rFonts w:asciiTheme="minorHAnsi" w:eastAsiaTheme="minorHAnsi" w:hAnsiTheme="minorHAnsi" w:cstheme="minorBidi"/>
          <w:sz w:val="22"/>
          <w:szCs w:val="22"/>
          <w:lang w:val="it-IT" w:eastAsia="en-US" w:bidi="ar-SA"/>
        </w:rPr>
      </w:pPr>
      <w:r w:rsidRPr="00AC753A">
        <w:rPr>
          <w:rFonts w:asciiTheme="minorHAnsi" w:eastAsiaTheme="minorHAnsi" w:hAnsiTheme="minorHAnsi" w:cstheme="minorBidi"/>
          <w:sz w:val="22"/>
          <w:szCs w:val="22"/>
          <w:lang w:val="it-IT" w:eastAsia="en-US" w:bidi="ar-SA"/>
        </w:rPr>
        <w:t>Online ordering: http://www.ntis.gov</w:t>
      </w:r>
    </w:p>
    <w:p w:rsidR="00AC753A" w:rsidRPr="00AC753A" w:rsidRDefault="00AC753A" w:rsidP="00AC753A">
      <w:pPr>
        <w:pStyle w:val="PreformattedText"/>
        <w:rPr>
          <w:rFonts w:asciiTheme="minorHAnsi" w:eastAsiaTheme="minorHAnsi" w:hAnsiTheme="minorHAnsi" w:cstheme="minorBidi"/>
          <w:sz w:val="22"/>
          <w:szCs w:val="22"/>
          <w:lang w:val="it-IT" w:eastAsia="en-US" w:bidi="ar-SA"/>
        </w:rPr>
      </w:pPr>
    </w:p>
    <w:p w:rsidR="00AC753A" w:rsidRDefault="00023032" w:rsidP="00AC753A">
      <w:pPr>
        <w:jc w:val="center"/>
      </w:pPr>
      <w:r w:rsidRPr="00023032">
        <w:rPr>
          <w:noProof/>
          <w:lang w:eastAsia="it-IT"/>
        </w:rPr>
        <w:drawing>
          <wp:inline distT="0" distB="0" distL="0" distR="0">
            <wp:extent cx="2949575" cy="605155"/>
            <wp:effectExtent l="0" t="0" r="3175"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9575" cy="605155"/>
                    </a:xfrm>
                    <a:prstGeom prst="rect">
                      <a:avLst/>
                    </a:prstGeom>
                    <a:noFill/>
                    <a:ln>
                      <a:noFill/>
                    </a:ln>
                  </pic:spPr>
                </pic:pic>
              </a:graphicData>
            </a:graphic>
          </wp:inline>
        </w:drawing>
      </w:r>
    </w:p>
    <w:p w:rsidR="00AC753A" w:rsidRDefault="00AC753A"/>
    <w:p w:rsidR="000E62A0" w:rsidRDefault="000E62A0">
      <w:r>
        <w:br w:type="page"/>
      </w:r>
    </w:p>
    <w:p w:rsidR="00815BF1" w:rsidRDefault="00815BF1" w:rsidP="000E62A0">
      <w:pPr>
        <w:autoSpaceDE w:val="0"/>
        <w:autoSpaceDN w:val="0"/>
        <w:adjustRightInd w:val="0"/>
        <w:rPr>
          <w:rFonts w:ascii="Calibri" w:hAnsi="Calibri" w:cs="Calibri"/>
          <w:b/>
          <w:bCs/>
          <w:color w:val="000000"/>
        </w:rPr>
      </w:pPr>
    </w:p>
    <w:p w:rsidR="000E62A0" w:rsidRPr="000E62A0" w:rsidRDefault="00815BF1" w:rsidP="000E62A0">
      <w:pPr>
        <w:autoSpaceDE w:val="0"/>
        <w:autoSpaceDN w:val="0"/>
        <w:adjustRightInd w:val="0"/>
        <w:rPr>
          <w:rFonts w:ascii="Calibri" w:hAnsi="Calibri" w:cs="Calibri"/>
          <w:color w:val="000000"/>
        </w:rPr>
      </w:pPr>
      <w:r>
        <w:rPr>
          <w:rFonts w:ascii="Calibri" w:hAnsi="Calibri" w:cs="Calibri"/>
          <w:b/>
          <w:bCs/>
          <w:color w:val="000000"/>
        </w:rPr>
        <w:t>Riconoscimenti</w:t>
      </w:r>
      <w:r w:rsidR="000E62A0" w:rsidRPr="000E62A0">
        <w:rPr>
          <w:rFonts w:ascii="Calibri" w:hAnsi="Calibri" w:cs="Calibri"/>
          <w:b/>
          <w:bCs/>
          <w:color w:val="000000"/>
        </w:rPr>
        <w:t xml:space="preserve"> </w:t>
      </w:r>
    </w:p>
    <w:p w:rsidR="00815BF1" w:rsidRDefault="00815BF1" w:rsidP="000E62A0">
      <w:pPr>
        <w:autoSpaceDE w:val="0"/>
        <w:autoSpaceDN w:val="0"/>
        <w:adjustRightInd w:val="0"/>
      </w:pPr>
      <w:r>
        <w:rPr>
          <w:rFonts w:ascii="Calibri" w:hAnsi="Calibri" w:cs="Calibri"/>
          <w:color w:val="000000"/>
        </w:rPr>
        <w:t xml:space="preserve">Questo lavoro non sarebbe stato possibile </w:t>
      </w:r>
      <w:r>
        <w:t>delle persone citate, il cui sostegno è riconosciuto con gratitudine:</w:t>
      </w:r>
    </w:p>
    <w:p w:rsidR="00815BF1" w:rsidRPr="00815BF1" w:rsidRDefault="00815BF1" w:rsidP="00815BF1">
      <w:pPr>
        <w:pStyle w:val="Paragrafoelenco"/>
        <w:numPr>
          <w:ilvl w:val="0"/>
          <w:numId w:val="1"/>
        </w:numPr>
        <w:autoSpaceDE w:val="0"/>
        <w:autoSpaceDN w:val="0"/>
        <w:adjustRightInd w:val="0"/>
        <w:rPr>
          <w:rFonts w:ascii="Calibri" w:hAnsi="Calibri" w:cs="Calibri"/>
          <w:color w:val="000000"/>
        </w:rPr>
      </w:pPr>
      <w:r>
        <w:sym w:font="Symbol" w:char="F020"/>
      </w:r>
      <w:r>
        <w:t xml:space="preserve">Tim Carlson, Principal IT Architect di PNNL, ha facilitato l'utilizzo delle risorse del programma PNNL Institutional Computing (PIC). </w:t>
      </w:r>
      <w:r w:rsidRPr="00815BF1">
        <w:rPr>
          <w:sz w:val="16"/>
          <w:szCs w:val="16"/>
        </w:rPr>
        <w:t>1</w:t>
      </w:r>
      <w:r>
        <w:t xml:space="preserve"> Queste risorse comprendevano script di scrittura e assistenza per eseguire il modello di SkyGlow Simulator insieme all'uso di un supercomputer Constance, e infine un cluster Windows HPC, ospitato presso la sede di PNNL a Richland, WA.</w:t>
      </w:r>
    </w:p>
    <w:p w:rsidR="00815BF1" w:rsidRPr="00815BF1" w:rsidRDefault="00815BF1" w:rsidP="00815BF1">
      <w:pPr>
        <w:pStyle w:val="Paragrafoelenco"/>
        <w:numPr>
          <w:ilvl w:val="0"/>
          <w:numId w:val="1"/>
        </w:numPr>
        <w:autoSpaceDE w:val="0"/>
        <w:autoSpaceDN w:val="0"/>
        <w:adjustRightInd w:val="0"/>
        <w:rPr>
          <w:rFonts w:ascii="Calibri" w:hAnsi="Calibri" w:cs="Calibri"/>
          <w:color w:val="000000"/>
        </w:rPr>
      </w:pPr>
      <w:r>
        <w:t>Ian Ashdown, presidente di Heart Consultants, ha contribuito con un modello iniziale SkyGlowCalc e ha condiviso una notevole quantità di tempo e di sforzo per indagare non solo i numerosi modelli disponibili, ma anche la letteratura che discute i diversi impatti al bagliore del cielo.</w:t>
      </w:r>
    </w:p>
    <w:p w:rsidR="00815BF1" w:rsidRPr="00815BF1" w:rsidRDefault="00815BF1" w:rsidP="00815BF1">
      <w:pPr>
        <w:pStyle w:val="Paragrafoelenco"/>
        <w:numPr>
          <w:ilvl w:val="0"/>
          <w:numId w:val="1"/>
        </w:numPr>
        <w:autoSpaceDE w:val="0"/>
        <w:autoSpaceDN w:val="0"/>
        <w:adjustRightInd w:val="0"/>
        <w:rPr>
          <w:rFonts w:ascii="Calibri" w:hAnsi="Calibri" w:cs="Calibri"/>
          <w:color w:val="000000"/>
        </w:rPr>
      </w:pPr>
      <w:r>
        <w:sym w:font="Symbol" w:char="F020"/>
      </w:r>
      <w:r>
        <w:t>Marc Ledbetter, responsabile del programma di illuminazione a stato solido PNNL, ha fornito indicazioni, approfondimenti e numerose ore di revisione.</w:t>
      </w:r>
    </w:p>
    <w:p w:rsidR="00815BF1" w:rsidRPr="00815BF1" w:rsidRDefault="00815BF1" w:rsidP="00815BF1">
      <w:pPr>
        <w:pStyle w:val="Paragrafoelenco"/>
        <w:numPr>
          <w:ilvl w:val="0"/>
          <w:numId w:val="1"/>
        </w:numPr>
        <w:autoSpaceDE w:val="0"/>
        <w:autoSpaceDN w:val="0"/>
        <w:adjustRightInd w:val="0"/>
        <w:rPr>
          <w:rFonts w:ascii="Calibri" w:hAnsi="Calibri" w:cs="Calibri"/>
          <w:color w:val="000000"/>
        </w:rPr>
      </w:pPr>
      <w:r>
        <w:t>Jim Brodrick, responsabile del programma di illuminazione per il Dipartimento di Energia dell'Ufficio dell'edificio degli Stati Uniti, ha sostenuto questo progetto e ha fornito una pazienza duratura.</w:t>
      </w:r>
    </w:p>
    <w:p w:rsidR="00815BF1" w:rsidRDefault="00815BF1" w:rsidP="00815BF1">
      <w:pPr>
        <w:autoSpaceDE w:val="0"/>
        <w:autoSpaceDN w:val="0"/>
        <w:adjustRightInd w:val="0"/>
        <w:rPr>
          <w:rFonts w:ascii="Calibri" w:hAnsi="Calibri" w:cs="Calibri"/>
          <w:color w:val="000000"/>
        </w:rPr>
      </w:pPr>
    </w:p>
    <w:p w:rsidR="00BA7068" w:rsidRDefault="00BA7068" w:rsidP="00815BF1">
      <w:pPr>
        <w:autoSpaceDE w:val="0"/>
        <w:autoSpaceDN w:val="0"/>
        <w:adjustRightInd w:val="0"/>
        <w:rPr>
          <w:rFonts w:ascii="Calibri" w:hAnsi="Calibri" w:cs="Calibri"/>
          <w:color w:val="000000"/>
        </w:rPr>
      </w:pPr>
    </w:p>
    <w:p w:rsidR="001446A2" w:rsidRDefault="001446A2" w:rsidP="00A27C0B">
      <w:pPr>
        <w:pBdr>
          <w:top w:val="single" w:sz="8" w:space="1" w:color="auto"/>
        </w:pBdr>
        <w:autoSpaceDE w:val="0"/>
        <w:autoSpaceDN w:val="0"/>
        <w:adjustRightInd w:val="0"/>
        <w:spacing w:before="3200"/>
        <w:ind w:right="5669"/>
        <w:rPr>
          <w:rFonts w:ascii="Calibri" w:hAnsi="Calibri" w:cs="Calibri"/>
          <w:color w:val="000000"/>
        </w:rPr>
      </w:pPr>
    </w:p>
    <w:p w:rsidR="00815BF1" w:rsidRPr="00815BF1" w:rsidRDefault="00815BF1" w:rsidP="00815BF1">
      <w:pPr>
        <w:pStyle w:val="Paragrafoelenco"/>
        <w:autoSpaceDE w:val="0"/>
        <w:autoSpaceDN w:val="0"/>
        <w:adjustRightInd w:val="0"/>
        <w:rPr>
          <w:rFonts w:ascii="Calibri" w:hAnsi="Calibri" w:cs="Calibri"/>
          <w:color w:val="000000"/>
        </w:rPr>
      </w:pPr>
      <w:r w:rsidRPr="00815BF1">
        <w:rPr>
          <w:sz w:val="16"/>
          <w:szCs w:val="16"/>
        </w:rPr>
        <w:t>1</w:t>
      </w:r>
      <w:r>
        <w:t xml:space="preserve"> PIC fa parte della strategia di calcolo del Lab’s per alimentare una cultura della scienza computazionale offrendo servizi e funzionalità hardware a basso costo. Per ulteriori informazioni sul programma PIC, consulta la pagina Risorse PIC: http://pic.pnnl.gov/resources.stm.</w:t>
      </w:r>
    </w:p>
    <w:p w:rsidR="000E62A0" w:rsidRDefault="000E62A0">
      <w:pPr>
        <w:rPr>
          <w:rFonts w:ascii="Calibri" w:hAnsi="Calibri" w:cs="Calibri"/>
          <w:color w:val="000000"/>
        </w:rPr>
      </w:pPr>
      <w:r>
        <w:rPr>
          <w:rFonts w:ascii="Calibri" w:hAnsi="Calibri" w:cs="Calibri"/>
          <w:color w:val="000000"/>
        </w:rPr>
        <w:br w:type="page"/>
      </w:r>
    </w:p>
    <w:p w:rsidR="000E62A0" w:rsidRDefault="000E62A0" w:rsidP="00544AA3">
      <w:r>
        <w:lastRenderedPageBreak/>
        <w:t>Executive Summary</w:t>
      </w:r>
    </w:p>
    <w:p w:rsidR="0076118E" w:rsidRDefault="00A27C0B" w:rsidP="00A27C0B">
      <w:pPr>
        <w:pStyle w:val="Default"/>
        <w:rPr>
          <w:rFonts w:ascii="Verdana" w:hAnsi="Verdana" w:cs="Arial"/>
          <w:sz w:val="20"/>
          <w:szCs w:val="20"/>
        </w:rPr>
      </w:pPr>
      <w:r w:rsidRPr="00A27C0B">
        <w:rPr>
          <w:rFonts w:ascii="Verdana" w:hAnsi="Verdana" w:cs="Arial"/>
          <w:sz w:val="20"/>
          <w:szCs w:val="20"/>
        </w:rPr>
        <w:t>Come tu</w:t>
      </w:r>
      <w:r>
        <w:rPr>
          <w:rFonts w:ascii="Verdana" w:hAnsi="Verdana" w:cs="Arial"/>
          <w:sz w:val="20"/>
          <w:szCs w:val="20"/>
        </w:rPr>
        <w:t xml:space="preserve">tte le sorgenti di luce ad ampio spettro (p.es. bianca), i Diodi Emettitori di Luce (LED’s) </w:t>
      </w:r>
      <w:r w:rsidR="0076118E">
        <w:rPr>
          <w:rFonts w:ascii="Verdana" w:hAnsi="Verdana" w:cs="Arial"/>
          <w:sz w:val="20"/>
          <w:szCs w:val="20"/>
        </w:rPr>
        <w:t>emettono anche luce con</w:t>
      </w:r>
      <w:r w:rsidRPr="00A27C0B">
        <w:rPr>
          <w:rFonts w:ascii="Verdana" w:hAnsi="Verdana" w:cs="Arial"/>
          <w:sz w:val="20"/>
          <w:szCs w:val="20"/>
        </w:rPr>
        <w:t xml:space="preserve"> lunghezze d'onda più brevi, che possono includere componenti variabili di viola, azzurro, ciano e altri colori. </w:t>
      </w:r>
    </w:p>
    <w:p w:rsidR="0076118E" w:rsidRDefault="00A27C0B" w:rsidP="00A27C0B">
      <w:pPr>
        <w:pStyle w:val="Default"/>
        <w:rPr>
          <w:rFonts w:ascii="Verdana" w:hAnsi="Verdana" w:cs="Arial"/>
          <w:sz w:val="20"/>
          <w:szCs w:val="20"/>
        </w:rPr>
      </w:pPr>
      <w:r w:rsidRPr="00A27C0B">
        <w:rPr>
          <w:rFonts w:ascii="Verdana" w:hAnsi="Verdana" w:cs="Arial"/>
          <w:sz w:val="20"/>
          <w:szCs w:val="20"/>
        </w:rPr>
        <w:t>Poiché le lunghezze d'onda più brevi si disp</w:t>
      </w:r>
      <w:r w:rsidR="0076118E">
        <w:rPr>
          <w:rFonts w:ascii="Verdana" w:hAnsi="Verdana" w:cs="Arial"/>
          <w:sz w:val="20"/>
          <w:szCs w:val="20"/>
        </w:rPr>
        <w:t>erdono</w:t>
      </w:r>
      <w:r w:rsidRPr="00A27C0B">
        <w:rPr>
          <w:rFonts w:ascii="Verdana" w:hAnsi="Verdana" w:cs="Arial"/>
          <w:sz w:val="20"/>
          <w:szCs w:val="20"/>
        </w:rPr>
        <w:t xml:space="preserve"> più facilmente nell'atmosfera terrestre rispetto a lunghezze d'onda </w:t>
      </w:r>
      <w:r w:rsidR="0076118E">
        <w:rPr>
          <w:rFonts w:ascii="Verdana" w:hAnsi="Verdana" w:cs="Arial"/>
          <w:sz w:val="20"/>
          <w:szCs w:val="20"/>
        </w:rPr>
        <w:t>maggiori</w:t>
      </w:r>
      <w:r w:rsidRPr="00A27C0B">
        <w:rPr>
          <w:rFonts w:ascii="Verdana" w:hAnsi="Verdana" w:cs="Arial"/>
          <w:sz w:val="20"/>
          <w:szCs w:val="20"/>
        </w:rPr>
        <w:t>, come il giallo e il rosso</w:t>
      </w:r>
      <w:r w:rsidR="008262A6">
        <w:rPr>
          <w:rFonts w:ascii="Verdana" w:hAnsi="Verdana" w:cs="Arial"/>
          <w:sz w:val="20"/>
          <w:szCs w:val="20"/>
        </w:rPr>
        <w:t>, a</w:t>
      </w:r>
      <w:r w:rsidRPr="00A27C0B">
        <w:rPr>
          <w:rFonts w:ascii="Verdana" w:hAnsi="Verdana" w:cs="Arial"/>
          <w:sz w:val="20"/>
          <w:szCs w:val="20"/>
        </w:rPr>
        <w:t xml:space="preserve"> causa di </w:t>
      </w:r>
      <w:r w:rsidR="0076118E">
        <w:rPr>
          <w:rFonts w:ascii="Verdana" w:hAnsi="Verdana" w:cs="Arial"/>
          <w:sz w:val="20"/>
          <w:szCs w:val="20"/>
        </w:rPr>
        <w:t>varie</w:t>
      </w:r>
      <w:r w:rsidRPr="00A27C0B">
        <w:rPr>
          <w:rFonts w:ascii="Verdana" w:hAnsi="Verdana" w:cs="Arial"/>
          <w:sz w:val="20"/>
          <w:szCs w:val="20"/>
        </w:rPr>
        <w:t xml:space="preserve"> sensibilità biologiche a lunghezze d'onda più brevi, sono state sollevate varie preoccupazioni per quanto riguarda l'impatto potenziale </w:t>
      </w:r>
      <w:r w:rsidR="0076118E">
        <w:rPr>
          <w:rFonts w:ascii="Verdana" w:hAnsi="Verdana" w:cs="Arial"/>
          <w:sz w:val="20"/>
          <w:szCs w:val="20"/>
        </w:rPr>
        <w:t>dovuto alla</w:t>
      </w:r>
      <w:r w:rsidRPr="00A27C0B">
        <w:rPr>
          <w:rFonts w:ascii="Verdana" w:hAnsi="Verdana" w:cs="Arial"/>
          <w:sz w:val="20"/>
          <w:szCs w:val="20"/>
        </w:rPr>
        <w:t xml:space="preserve"> conversione delle sorgenti di illuminazione esterna con lunghezza d'onda bassa e corta, </w:t>
      </w:r>
      <w:r w:rsidR="0076118E">
        <w:rPr>
          <w:rFonts w:ascii="Verdana" w:hAnsi="Verdana" w:cs="Arial"/>
          <w:sz w:val="20"/>
          <w:szCs w:val="20"/>
        </w:rPr>
        <w:t>prevalentemente</w:t>
      </w:r>
      <w:r w:rsidRPr="00A27C0B">
        <w:rPr>
          <w:rFonts w:ascii="Verdana" w:hAnsi="Verdana" w:cs="Arial"/>
          <w:sz w:val="20"/>
          <w:szCs w:val="20"/>
        </w:rPr>
        <w:t xml:space="preserve"> </w:t>
      </w:r>
      <w:r w:rsidR="0076118E">
        <w:rPr>
          <w:rFonts w:ascii="Verdana" w:hAnsi="Verdana" w:cs="Arial"/>
          <w:sz w:val="20"/>
          <w:szCs w:val="20"/>
        </w:rPr>
        <w:t xml:space="preserve">dal </w:t>
      </w:r>
      <w:r w:rsidRPr="00A27C0B">
        <w:rPr>
          <w:rFonts w:ascii="Verdana" w:hAnsi="Verdana" w:cs="Arial"/>
          <w:sz w:val="20"/>
          <w:szCs w:val="20"/>
        </w:rPr>
        <w:t>sodio ad alta pressione (HPS), a</w:t>
      </w:r>
      <w:r w:rsidR="0076118E">
        <w:rPr>
          <w:rFonts w:ascii="Verdana" w:hAnsi="Verdana" w:cs="Arial"/>
          <w:sz w:val="20"/>
          <w:szCs w:val="20"/>
        </w:rPr>
        <w:t>i</w:t>
      </w:r>
      <w:r w:rsidRPr="00A27C0B">
        <w:rPr>
          <w:rFonts w:ascii="Verdana" w:hAnsi="Verdana" w:cs="Arial"/>
          <w:sz w:val="20"/>
          <w:szCs w:val="20"/>
        </w:rPr>
        <w:t xml:space="preserve"> LED ad ampio spettro.</w:t>
      </w:r>
    </w:p>
    <w:p w:rsidR="00AB2199" w:rsidRDefault="00A27C0B" w:rsidP="00A27C0B">
      <w:pPr>
        <w:pStyle w:val="Default"/>
        <w:rPr>
          <w:rFonts w:ascii="Verdana" w:hAnsi="Verdana" w:cs="Arial"/>
          <w:sz w:val="20"/>
          <w:szCs w:val="20"/>
        </w:rPr>
      </w:pPr>
      <w:r w:rsidRPr="00A27C0B">
        <w:rPr>
          <w:rFonts w:ascii="Verdana" w:hAnsi="Verdana" w:cs="Arial"/>
          <w:sz w:val="20"/>
          <w:szCs w:val="20"/>
        </w:rPr>
        <w:t>L'illuminazione stradale è spesso oggetto di queste preoccupazioni, inclusa la potenziale riduzione della visibilità del cielo notturno a partire dai maggiori livelli di luce sparsa, comunemente denominata "glow sky"</w:t>
      </w:r>
      <w:r w:rsidR="008262A6">
        <w:rPr>
          <w:rFonts w:ascii="Verdana" w:hAnsi="Verdana" w:cs="Arial"/>
          <w:sz w:val="20"/>
          <w:szCs w:val="20"/>
        </w:rPr>
        <w:t xml:space="preserve"> (chiarore del cielo notturno)</w:t>
      </w:r>
      <w:r w:rsidRPr="00A27C0B">
        <w:rPr>
          <w:rFonts w:ascii="Verdana" w:hAnsi="Verdana" w:cs="Arial"/>
          <w:sz w:val="20"/>
          <w:szCs w:val="20"/>
        </w:rPr>
        <w:t>, e potenziali problemi d</w:t>
      </w:r>
      <w:r w:rsidR="00AB2199">
        <w:rPr>
          <w:rFonts w:ascii="Verdana" w:hAnsi="Verdana" w:cs="Arial"/>
          <w:sz w:val="20"/>
          <w:szCs w:val="20"/>
        </w:rPr>
        <w:t>i salute dall'esposizione a</w:t>
      </w:r>
      <w:r w:rsidRPr="00A27C0B">
        <w:rPr>
          <w:rFonts w:ascii="Verdana" w:hAnsi="Verdana" w:cs="Arial"/>
          <w:sz w:val="20"/>
          <w:szCs w:val="20"/>
        </w:rPr>
        <w:t xml:space="preserve"> livelli più elevati di luce. Questo documento si focalizza sulle potenziali modifiche al </w:t>
      </w:r>
      <w:r w:rsidR="00AB2199">
        <w:rPr>
          <w:rFonts w:ascii="Verdana" w:hAnsi="Verdana" w:cs="Arial"/>
          <w:sz w:val="20"/>
          <w:szCs w:val="20"/>
        </w:rPr>
        <w:t>chiarore</w:t>
      </w:r>
      <w:r w:rsidRPr="00A27C0B">
        <w:rPr>
          <w:rFonts w:ascii="Verdana" w:hAnsi="Verdana" w:cs="Arial"/>
          <w:sz w:val="20"/>
          <w:szCs w:val="20"/>
        </w:rPr>
        <w:t xml:space="preserve"> del cielo </w:t>
      </w:r>
      <w:r w:rsidR="00AB2199">
        <w:rPr>
          <w:rFonts w:ascii="Verdana" w:hAnsi="Verdana" w:cs="Arial"/>
          <w:sz w:val="20"/>
          <w:szCs w:val="20"/>
        </w:rPr>
        <w:t xml:space="preserve">notturno </w:t>
      </w:r>
      <w:r w:rsidRPr="00A27C0B">
        <w:rPr>
          <w:rFonts w:ascii="Verdana" w:hAnsi="Verdana" w:cs="Arial"/>
          <w:sz w:val="20"/>
          <w:szCs w:val="20"/>
        </w:rPr>
        <w:t>che ci si as</w:t>
      </w:r>
      <w:r w:rsidR="00AB2199">
        <w:rPr>
          <w:rFonts w:ascii="Verdana" w:hAnsi="Verdana" w:cs="Arial"/>
          <w:sz w:val="20"/>
          <w:szCs w:val="20"/>
        </w:rPr>
        <w:t>petta dalle conversioni a LED della</w:t>
      </w:r>
      <w:r w:rsidRPr="00A27C0B">
        <w:rPr>
          <w:rFonts w:ascii="Verdana" w:hAnsi="Verdana" w:cs="Arial"/>
          <w:sz w:val="20"/>
          <w:szCs w:val="20"/>
        </w:rPr>
        <w:t xml:space="preserve"> illuminazione stradale e non affronta le preoccupazioni per la salute. </w:t>
      </w:r>
    </w:p>
    <w:p w:rsidR="00AB2199" w:rsidRDefault="00A27C0B" w:rsidP="00A27C0B">
      <w:pPr>
        <w:pStyle w:val="Default"/>
        <w:rPr>
          <w:rFonts w:ascii="Verdana" w:hAnsi="Verdana" w:cs="Arial"/>
          <w:sz w:val="20"/>
          <w:szCs w:val="20"/>
        </w:rPr>
      </w:pPr>
      <w:r w:rsidRPr="00A27C0B">
        <w:rPr>
          <w:rFonts w:ascii="Verdana" w:hAnsi="Verdana" w:cs="Arial"/>
          <w:sz w:val="20"/>
          <w:szCs w:val="20"/>
        </w:rPr>
        <w:t xml:space="preserve">Molti fattori contribuiscono ai massimi livelli di luminosità del cielo in qualsiasi luogo. Una considerazione importante è che l'illuminazione stradale, il focus di questo documento, è solo una delle tante fonti di luce di notte nelle aree urbane. </w:t>
      </w:r>
      <w:r w:rsidR="00AB2199">
        <w:rPr>
          <w:rFonts w:ascii="Verdana" w:hAnsi="Verdana" w:cs="Arial"/>
          <w:sz w:val="20"/>
          <w:szCs w:val="20"/>
        </w:rPr>
        <w:t xml:space="preserve">Altre fonti includono le </w:t>
      </w:r>
      <w:r w:rsidRPr="00A27C0B">
        <w:rPr>
          <w:rFonts w:ascii="Verdana" w:hAnsi="Verdana" w:cs="Arial"/>
          <w:sz w:val="20"/>
          <w:szCs w:val="20"/>
        </w:rPr>
        <w:t xml:space="preserve">luci interne che escono dalle finestre esterne, l'illuminazione architettonica e paesaggistica, </w:t>
      </w:r>
      <w:r w:rsidR="00AB2199">
        <w:rPr>
          <w:rFonts w:ascii="Verdana" w:hAnsi="Verdana" w:cs="Arial"/>
          <w:sz w:val="20"/>
          <w:szCs w:val="20"/>
        </w:rPr>
        <w:t xml:space="preserve">la </w:t>
      </w:r>
      <w:r w:rsidRPr="00A27C0B">
        <w:rPr>
          <w:rFonts w:ascii="Verdana" w:hAnsi="Verdana" w:cs="Arial"/>
          <w:sz w:val="20"/>
          <w:szCs w:val="20"/>
        </w:rPr>
        <w:t xml:space="preserve">segnaletica, parcheggi e garage, </w:t>
      </w:r>
      <w:r w:rsidR="00AB2199">
        <w:rPr>
          <w:rFonts w:ascii="Verdana" w:hAnsi="Verdana" w:cs="Arial"/>
          <w:sz w:val="20"/>
          <w:szCs w:val="20"/>
        </w:rPr>
        <w:t xml:space="preserve">la </w:t>
      </w:r>
      <w:r w:rsidRPr="00A27C0B">
        <w:rPr>
          <w:rFonts w:ascii="Verdana" w:hAnsi="Verdana" w:cs="Arial"/>
          <w:sz w:val="20"/>
          <w:szCs w:val="20"/>
        </w:rPr>
        <w:t xml:space="preserve">illuminazione ricreativa e </w:t>
      </w:r>
      <w:r w:rsidR="00AB2199">
        <w:rPr>
          <w:rFonts w:ascii="Verdana" w:hAnsi="Verdana" w:cs="Arial"/>
          <w:sz w:val="20"/>
          <w:szCs w:val="20"/>
        </w:rPr>
        <w:t>l’</w:t>
      </w:r>
      <w:r w:rsidRPr="00A27C0B">
        <w:rPr>
          <w:rFonts w:ascii="Verdana" w:hAnsi="Verdana" w:cs="Arial"/>
          <w:sz w:val="20"/>
          <w:szCs w:val="20"/>
        </w:rPr>
        <w:t xml:space="preserve">illuminazione </w:t>
      </w:r>
      <w:r w:rsidR="00AB2199">
        <w:rPr>
          <w:rFonts w:ascii="Verdana" w:hAnsi="Verdana" w:cs="Arial"/>
          <w:sz w:val="20"/>
          <w:szCs w:val="20"/>
        </w:rPr>
        <w:t>dei veicoli</w:t>
      </w:r>
      <w:r w:rsidRPr="00A27C0B">
        <w:rPr>
          <w:rFonts w:ascii="Verdana" w:hAnsi="Verdana" w:cs="Arial"/>
          <w:sz w:val="20"/>
          <w:szCs w:val="20"/>
        </w:rPr>
        <w:t xml:space="preserve">. </w:t>
      </w:r>
    </w:p>
    <w:p w:rsidR="00AB2199" w:rsidRDefault="00A27C0B" w:rsidP="00A27C0B">
      <w:pPr>
        <w:pStyle w:val="Default"/>
        <w:rPr>
          <w:rFonts w:ascii="Verdana" w:hAnsi="Verdana" w:cs="Arial"/>
          <w:sz w:val="20"/>
          <w:szCs w:val="20"/>
        </w:rPr>
      </w:pPr>
      <w:r w:rsidRPr="00A27C0B">
        <w:rPr>
          <w:rFonts w:ascii="Verdana" w:hAnsi="Verdana" w:cs="Arial"/>
          <w:sz w:val="20"/>
          <w:szCs w:val="20"/>
        </w:rPr>
        <w:t xml:space="preserve">I risultati di questo documento, pertanto, rappresentano solo i contributi al bagliore del cielo dal sistema di illuminazione stradale e non possono nemmeno affrontare le fonti primarie di incandescenza in luoghi come una grande area urbana. </w:t>
      </w:r>
      <w:r w:rsidR="00AB2199">
        <w:rPr>
          <w:rFonts w:ascii="Verdana" w:hAnsi="Verdana" w:cs="Arial"/>
          <w:sz w:val="20"/>
          <w:szCs w:val="20"/>
        </w:rPr>
        <w:t>I risultati e le implicaioni</w:t>
      </w:r>
      <w:r w:rsidRPr="00A27C0B">
        <w:rPr>
          <w:rFonts w:ascii="Verdana" w:hAnsi="Verdana" w:cs="Arial"/>
          <w:sz w:val="20"/>
          <w:szCs w:val="20"/>
        </w:rPr>
        <w:t xml:space="preserve"> collegate</w:t>
      </w:r>
      <w:r w:rsidR="00AB2199">
        <w:rPr>
          <w:rFonts w:ascii="Verdana" w:hAnsi="Verdana" w:cs="Arial"/>
          <w:sz w:val="20"/>
          <w:szCs w:val="20"/>
        </w:rPr>
        <w:t>,</w:t>
      </w:r>
      <w:r w:rsidRPr="00A27C0B">
        <w:rPr>
          <w:rFonts w:ascii="Verdana" w:hAnsi="Verdana" w:cs="Arial"/>
          <w:sz w:val="20"/>
          <w:szCs w:val="20"/>
        </w:rPr>
        <w:t xml:space="preserve"> previste in qualsiasi posizione reale</w:t>
      </w:r>
      <w:r w:rsidR="00AB2199">
        <w:rPr>
          <w:rFonts w:ascii="Verdana" w:hAnsi="Verdana" w:cs="Arial"/>
          <w:sz w:val="20"/>
          <w:szCs w:val="20"/>
        </w:rPr>
        <w:t>,</w:t>
      </w:r>
      <w:r w:rsidRPr="00A27C0B">
        <w:rPr>
          <w:rFonts w:ascii="Verdana" w:hAnsi="Verdana" w:cs="Arial"/>
          <w:sz w:val="20"/>
          <w:szCs w:val="20"/>
        </w:rPr>
        <w:t xml:space="preserve"> dovrebbero essere considerate in tale contesto. </w:t>
      </w:r>
    </w:p>
    <w:p w:rsidR="00AB2199" w:rsidRDefault="00A27C0B" w:rsidP="00A27C0B">
      <w:pPr>
        <w:pStyle w:val="Default"/>
        <w:rPr>
          <w:rFonts w:ascii="Verdana" w:hAnsi="Verdana" w:cs="Arial"/>
          <w:sz w:val="20"/>
          <w:szCs w:val="20"/>
        </w:rPr>
      </w:pPr>
      <w:r w:rsidRPr="00A27C0B">
        <w:rPr>
          <w:rFonts w:ascii="Verdana" w:hAnsi="Verdana" w:cs="Arial"/>
          <w:sz w:val="20"/>
          <w:szCs w:val="20"/>
        </w:rPr>
        <w:t xml:space="preserve">Mentre aumenta il contenuto corto delle lunghezze d'onda delle sorgenti luminose esterne aumenta il potenziale di illuminazione del cielo, altre caratteristiche degli </w:t>
      </w:r>
      <w:r w:rsidR="00D56039">
        <w:rPr>
          <w:rFonts w:ascii="Verdana" w:hAnsi="Verdana" w:cs="Arial"/>
          <w:sz w:val="20"/>
          <w:szCs w:val="20"/>
        </w:rPr>
        <w:t>impianti</w:t>
      </w:r>
      <w:r w:rsidRPr="00A27C0B">
        <w:rPr>
          <w:rFonts w:ascii="Verdana" w:hAnsi="Verdana" w:cs="Arial"/>
          <w:sz w:val="20"/>
          <w:szCs w:val="20"/>
        </w:rPr>
        <w:t xml:space="preserve"> di illuminazione stradale a LED possono ridurre o compensare completamente questi effetti. Le tre principali caratteristiche degli </w:t>
      </w:r>
      <w:r w:rsidR="00D56039">
        <w:rPr>
          <w:rFonts w:ascii="Verdana" w:hAnsi="Verdana" w:cs="Arial"/>
          <w:sz w:val="20"/>
          <w:szCs w:val="20"/>
        </w:rPr>
        <w:t>impianti</w:t>
      </w:r>
      <w:r w:rsidRPr="00A27C0B">
        <w:rPr>
          <w:rFonts w:ascii="Verdana" w:hAnsi="Verdana" w:cs="Arial"/>
          <w:sz w:val="20"/>
          <w:szCs w:val="20"/>
        </w:rPr>
        <w:t xml:space="preserve"> che influenzano il bagliore del cielo sono la distribuzione dello spettro di potenza (SPD), l'uscita totale </w:t>
      </w:r>
      <w:r w:rsidR="00AB2199">
        <w:rPr>
          <w:rFonts w:ascii="Verdana" w:hAnsi="Verdana" w:cs="Arial"/>
          <w:sz w:val="20"/>
          <w:szCs w:val="20"/>
        </w:rPr>
        <w:t xml:space="preserve">(in </w:t>
      </w:r>
      <w:r w:rsidRPr="00A27C0B">
        <w:rPr>
          <w:rFonts w:ascii="Verdana" w:hAnsi="Verdana" w:cs="Arial"/>
          <w:sz w:val="20"/>
          <w:szCs w:val="20"/>
        </w:rPr>
        <w:t>lumen</w:t>
      </w:r>
      <w:r w:rsidR="00AB2199">
        <w:rPr>
          <w:rFonts w:ascii="Verdana" w:hAnsi="Verdana" w:cs="Arial"/>
          <w:sz w:val="20"/>
          <w:szCs w:val="20"/>
        </w:rPr>
        <w:t>)</w:t>
      </w:r>
      <w:r w:rsidRPr="00A27C0B">
        <w:rPr>
          <w:rFonts w:ascii="Verdana" w:hAnsi="Verdana" w:cs="Arial"/>
          <w:sz w:val="20"/>
          <w:szCs w:val="20"/>
        </w:rPr>
        <w:t xml:space="preserve"> e la distribuzione della luce dell'illuminazione (e, soprattutto, la quantità di quella distribuzione emessa come </w:t>
      </w:r>
      <w:r w:rsidR="00AB2199">
        <w:rPr>
          <w:rFonts w:ascii="Verdana" w:hAnsi="Verdana" w:cs="Arial"/>
          <w:sz w:val="20"/>
          <w:szCs w:val="20"/>
        </w:rPr>
        <w:t>luce direta verso l’alto</w:t>
      </w:r>
      <w:r w:rsidRPr="00A27C0B">
        <w:rPr>
          <w:rFonts w:ascii="Verdana" w:hAnsi="Verdana" w:cs="Arial"/>
          <w:sz w:val="20"/>
          <w:szCs w:val="20"/>
        </w:rPr>
        <w:t xml:space="preserve">). </w:t>
      </w:r>
    </w:p>
    <w:p w:rsidR="000F6C57" w:rsidRDefault="00A27C0B" w:rsidP="000F6C57">
      <w:pPr>
        <w:pStyle w:val="Default"/>
        <w:rPr>
          <w:rFonts w:ascii="Calibri" w:hAnsi="Calibri" w:cs="Calibri"/>
          <w:sz w:val="22"/>
          <w:szCs w:val="22"/>
        </w:rPr>
      </w:pPr>
      <w:r w:rsidRPr="00A27C0B">
        <w:rPr>
          <w:rFonts w:ascii="Verdana" w:hAnsi="Verdana" w:cs="Arial"/>
          <w:sz w:val="20"/>
          <w:szCs w:val="20"/>
        </w:rPr>
        <w:t xml:space="preserve">Ognuna di queste caratteristiche può essere specificata attraverso la selezione di </w:t>
      </w:r>
      <w:r w:rsidR="00D56039">
        <w:rPr>
          <w:rFonts w:ascii="Verdana" w:hAnsi="Verdana" w:cs="Arial"/>
          <w:sz w:val="20"/>
          <w:szCs w:val="20"/>
        </w:rPr>
        <w:t>impianti</w:t>
      </w:r>
      <w:r w:rsidRPr="00A27C0B">
        <w:rPr>
          <w:rFonts w:ascii="Verdana" w:hAnsi="Verdana" w:cs="Arial"/>
          <w:sz w:val="20"/>
          <w:szCs w:val="20"/>
        </w:rPr>
        <w:t xml:space="preserve"> di illuminazione e deve pertanto essere attentamente valutata come parte del </w:t>
      </w:r>
      <w:r w:rsidR="00AB2199">
        <w:rPr>
          <w:rFonts w:ascii="Verdana" w:hAnsi="Verdana" w:cs="Arial"/>
          <w:sz w:val="20"/>
          <w:szCs w:val="20"/>
        </w:rPr>
        <w:t>progetto del</w:t>
      </w:r>
      <w:r w:rsidRPr="00A27C0B">
        <w:rPr>
          <w:rFonts w:ascii="Verdana" w:hAnsi="Verdana" w:cs="Arial"/>
          <w:sz w:val="20"/>
          <w:szCs w:val="20"/>
        </w:rPr>
        <w:t xml:space="preserve"> sistema. I fattori esterni influenzano anche la quantità di luminosità del cielo </w:t>
      </w:r>
      <w:r w:rsidR="00AB2199">
        <w:rPr>
          <w:rFonts w:ascii="Verdana" w:hAnsi="Verdana" w:cs="Arial"/>
          <w:sz w:val="20"/>
          <w:szCs w:val="20"/>
        </w:rPr>
        <w:t>notturno percepita</w:t>
      </w:r>
      <w:r w:rsidRPr="00A27C0B">
        <w:rPr>
          <w:rFonts w:ascii="Verdana" w:hAnsi="Verdana" w:cs="Arial"/>
          <w:sz w:val="20"/>
          <w:szCs w:val="20"/>
        </w:rPr>
        <w:t xml:space="preserve"> da un dato osservatore, come la posizione dell'osservatore rispetto alla sorgente della luce (in particolare la distanza da essa), la dimensione della sorgente (vale a dire la zona della città), le condizioni atmosferiche</w:t>
      </w:r>
      <w:r w:rsidR="00AB2199">
        <w:rPr>
          <w:rFonts w:ascii="Verdana" w:hAnsi="Verdana" w:cs="Arial"/>
          <w:sz w:val="20"/>
          <w:szCs w:val="20"/>
        </w:rPr>
        <w:t>,</w:t>
      </w:r>
      <w:r w:rsidRPr="00A27C0B">
        <w:rPr>
          <w:rFonts w:ascii="Verdana" w:hAnsi="Verdana" w:cs="Arial"/>
          <w:sz w:val="20"/>
          <w:szCs w:val="20"/>
        </w:rPr>
        <w:t xml:space="preserve"> </w:t>
      </w:r>
      <w:r w:rsidR="00AB2199">
        <w:rPr>
          <w:rFonts w:ascii="Verdana" w:hAnsi="Verdana" w:cs="Arial"/>
          <w:sz w:val="20"/>
          <w:szCs w:val="20"/>
        </w:rPr>
        <w:t>i</w:t>
      </w:r>
      <w:r w:rsidRPr="00A27C0B">
        <w:rPr>
          <w:rFonts w:ascii="Verdana" w:hAnsi="Verdana" w:cs="Arial"/>
          <w:sz w:val="20"/>
          <w:szCs w:val="20"/>
        </w:rPr>
        <w:t>l tempo di</w:t>
      </w:r>
      <w:r w:rsidR="00AB2199">
        <w:rPr>
          <w:rFonts w:ascii="Verdana" w:hAnsi="Verdana" w:cs="Arial"/>
          <w:sz w:val="20"/>
          <w:szCs w:val="20"/>
        </w:rPr>
        <w:t xml:space="preserve"> osservazione, le altezze dei pa</w:t>
      </w:r>
      <w:r w:rsidRPr="00A27C0B">
        <w:rPr>
          <w:rFonts w:ascii="Verdana" w:hAnsi="Verdana" w:cs="Arial"/>
          <w:sz w:val="20"/>
          <w:szCs w:val="20"/>
        </w:rPr>
        <w:t>li, le caratteristiche geografiche circostanti e la riflessione della superficie del suolo. Questo progetto ha stimato l'influenza dei primi tre fattori utilizzando un modello ben noto in tutta la comunità astronomica, SkyGlow Simulator, sviluppato da Miroslav Kocifaj.</w:t>
      </w:r>
      <w:r w:rsidRPr="00AB2199">
        <w:rPr>
          <w:rFonts w:ascii="Verdana" w:hAnsi="Verdana" w:cs="Arial"/>
          <w:sz w:val="16"/>
          <w:szCs w:val="16"/>
        </w:rPr>
        <w:t>2</w:t>
      </w:r>
      <w:r w:rsidRPr="00A27C0B">
        <w:rPr>
          <w:rFonts w:ascii="Verdana" w:hAnsi="Verdana" w:cs="Arial"/>
          <w:sz w:val="20"/>
          <w:szCs w:val="20"/>
        </w:rPr>
        <w:t xml:space="preserve"> L'influenza di ciascun fattore è stata calcolata in modo indipendente durante una serie estesa di computer (circa 200.000). </w:t>
      </w:r>
      <w:r w:rsidR="000F6C57">
        <w:rPr>
          <w:rFonts w:ascii="Verdana" w:hAnsi="Verdana" w:cs="Arial"/>
          <w:sz w:val="20"/>
          <w:szCs w:val="20"/>
        </w:rPr>
        <w:t>S</w:t>
      </w:r>
      <w:r w:rsidR="000F6C57" w:rsidRPr="00A27C0B">
        <w:rPr>
          <w:rFonts w:ascii="Verdana" w:hAnsi="Verdana" w:cs="Arial"/>
          <w:sz w:val="20"/>
          <w:szCs w:val="20"/>
        </w:rPr>
        <w:t xml:space="preserve">ono state necessarie </w:t>
      </w:r>
      <w:r w:rsidR="000F6C57">
        <w:rPr>
          <w:rFonts w:ascii="Verdana" w:hAnsi="Verdana" w:cs="Arial"/>
          <w:sz w:val="20"/>
          <w:szCs w:val="20"/>
        </w:rPr>
        <w:t>a</w:t>
      </w:r>
      <w:r w:rsidRPr="00A27C0B">
        <w:rPr>
          <w:rFonts w:ascii="Verdana" w:hAnsi="Verdana" w:cs="Arial"/>
          <w:sz w:val="20"/>
          <w:szCs w:val="20"/>
        </w:rPr>
        <w:t>ssunzioni generalizzate anche con questo gr</w:t>
      </w:r>
      <w:r w:rsidR="000F6C57">
        <w:rPr>
          <w:rFonts w:ascii="Verdana" w:hAnsi="Verdana" w:cs="Arial"/>
          <w:sz w:val="20"/>
          <w:szCs w:val="20"/>
        </w:rPr>
        <w:t>ande</w:t>
      </w:r>
      <w:r w:rsidRPr="00A27C0B">
        <w:rPr>
          <w:rFonts w:ascii="Verdana" w:hAnsi="Verdana" w:cs="Arial"/>
          <w:sz w:val="20"/>
          <w:szCs w:val="20"/>
        </w:rPr>
        <w:t xml:space="preserve"> numero di </w:t>
      </w:r>
      <w:r w:rsidR="000F6C57">
        <w:rPr>
          <w:rFonts w:ascii="Verdana" w:hAnsi="Verdana" w:cs="Arial"/>
          <w:sz w:val="20"/>
          <w:szCs w:val="20"/>
        </w:rPr>
        <w:t xml:space="preserve">simulazioni </w:t>
      </w:r>
      <w:r w:rsidRPr="00A27C0B">
        <w:rPr>
          <w:rFonts w:ascii="Verdana" w:hAnsi="Verdana" w:cs="Arial"/>
          <w:sz w:val="20"/>
          <w:szCs w:val="20"/>
        </w:rPr>
        <w:t xml:space="preserve">per evitare che lo sforzo di calcolo </w:t>
      </w:r>
      <w:r w:rsidR="000F6C57">
        <w:rPr>
          <w:rFonts w:ascii="Verdana" w:hAnsi="Verdana" w:cs="Arial"/>
          <w:sz w:val="20"/>
          <w:szCs w:val="20"/>
        </w:rPr>
        <w:t>fosse</w:t>
      </w:r>
      <w:r w:rsidRPr="00A27C0B">
        <w:rPr>
          <w:rFonts w:ascii="Verdana" w:hAnsi="Verdana" w:cs="Arial"/>
          <w:sz w:val="20"/>
          <w:szCs w:val="20"/>
        </w:rPr>
        <w:t xml:space="preserve"> ancora più grande, così come significative semplificazioni a temi complessi come la concentrazione aerosol atmosferica, la composizione e la caratterizzazione fisica (cioè, dimensione delle particelle, forma e distribuzione). Come in ogni sforzo di modellazione, i risultati sono validi solo come le loro ipotesi di base, per cui è stato preso cura di selezionare valori per variabili ragionevoli e rappresentative di condizioni e scenari tipici. L'ultimo</w:t>
      </w:r>
      <w:r w:rsidR="000F6C57">
        <w:rPr>
          <w:rFonts w:ascii="Verdana" w:hAnsi="Verdana" w:cs="Arial"/>
          <w:sz w:val="20"/>
          <w:szCs w:val="20"/>
        </w:rPr>
        <w:t xml:space="preserve"> </w:t>
      </w:r>
      <w:r w:rsidR="000F6C57">
        <w:t xml:space="preserve">è fondamentale per interpretare i risultati contenuti in questa relazione. </w:t>
      </w:r>
    </w:p>
    <w:p w:rsidR="000F6C57" w:rsidRDefault="000F6C57" w:rsidP="000F6C57">
      <w:pPr>
        <w:pBdr>
          <w:top w:val="single" w:sz="8" w:space="1" w:color="auto"/>
        </w:pBdr>
        <w:autoSpaceDE w:val="0"/>
        <w:autoSpaceDN w:val="0"/>
        <w:adjustRightInd w:val="0"/>
        <w:spacing w:before="800"/>
        <w:ind w:right="5670"/>
        <w:rPr>
          <w:rFonts w:ascii="Calibri" w:hAnsi="Calibri" w:cs="Calibri"/>
          <w:color w:val="000000"/>
        </w:rPr>
      </w:pPr>
      <w:r>
        <w:rPr>
          <w:sz w:val="12"/>
          <w:szCs w:val="12"/>
        </w:rPr>
        <w:t xml:space="preserve">2 </w:t>
      </w:r>
      <w:r>
        <w:rPr>
          <w:sz w:val="18"/>
          <w:szCs w:val="18"/>
        </w:rPr>
        <w:t xml:space="preserve">Miroslav Kocifaj is a senior researcher at the ICA Institute of the Slovak Academy of Sciences. </w:t>
      </w:r>
      <w:r>
        <w:t xml:space="preserve"> </w:t>
      </w:r>
    </w:p>
    <w:p w:rsidR="000F6C57" w:rsidRDefault="000F6C57" w:rsidP="00A27C0B">
      <w:pPr>
        <w:pStyle w:val="Default"/>
      </w:pPr>
    </w:p>
    <w:p w:rsidR="000F6C57" w:rsidRDefault="000F6C57">
      <w:pPr>
        <w:rPr>
          <w:rFonts w:ascii="NCFLW L+ Gotham Narrow" w:hAnsi="NCFLW L+ Gotham Narrow" w:cs="NCFLW L+ Gotham Narrow"/>
          <w:color w:val="000000"/>
          <w:sz w:val="24"/>
          <w:szCs w:val="24"/>
        </w:rPr>
      </w:pPr>
      <w:r>
        <w:br w:type="page"/>
      </w:r>
    </w:p>
    <w:p w:rsidR="000F6C57" w:rsidRPr="00A1308A" w:rsidRDefault="000F6C57" w:rsidP="00A27C0B">
      <w:pPr>
        <w:pStyle w:val="Default"/>
        <w:rPr>
          <w:rFonts w:ascii="Verdana" w:hAnsi="Verdana"/>
          <w:sz w:val="20"/>
          <w:szCs w:val="20"/>
        </w:rPr>
      </w:pPr>
    </w:p>
    <w:p w:rsidR="000E62A0" w:rsidRPr="00A1308A" w:rsidRDefault="000F6C57" w:rsidP="00A27C0B">
      <w:pPr>
        <w:pStyle w:val="Default"/>
        <w:rPr>
          <w:rFonts w:ascii="Verdana" w:hAnsi="Verdana" w:cs="Arial"/>
          <w:sz w:val="20"/>
          <w:szCs w:val="20"/>
        </w:rPr>
      </w:pPr>
      <w:r w:rsidRPr="00A1308A">
        <w:rPr>
          <w:rFonts w:ascii="Verdana" w:hAnsi="Verdana"/>
          <w:sz w:val="20"/>
          <w:szCs w:val="20"/>
        </w:rPr>
        <w:t>Mentre potrebbe essere esplorato un certo numero di costrutti ipotetici, come le versioni aggiornate delle tecnologie attuali (ad esempio, HPS con controllo ottico migliorato) o SPD "designed" progettati per ottimizzare le proprietà specifiche di una sorgente luminosa. L'obiettivo principale di questa ricerca è quello di esaminare le situazioni di illuminazione stradale rappresentate in tutti gli Stati Uniti oggi, sia i sistemi attuali che i sistemi a LED che li sostituiscono. I risultati sono quindi destinati a rappresentare ciò che sta succedendo negli Stati Uniti, piuttosto che ciò che potrebbe succedere se lo studio fosse libero di concepire le caratteristiche alternative dei futuri sistemi di illuminazione stradale.</w:t>
      </w:r>
    </w:p>
    <w:p w:rsidR="000F7973" w:rsidRPr="00A1308A" w:rsidRDefault="000F7973" w:rsidP="000E62A0">
      <w:pPr>
        <w:pStyle w:val="Default"/>
        <w:rPr>
          <w:rFonts w:ascii="Verdana" w:hAnsi="Verdana"/>
          <w:sz w:val="20"/>
          <w:szCs w:val="20"/>
        </w:rPr>
      </w:pPr>
    </w:p>
    <w:p w:rsidR="00A27C0B" w:rsidRPr="00A1308A" w:rsidRDefault="000F7973" w:rsidP="000E62A0">
      <w:pPr>
        <w:pStyle w:val="Default"/>
        <w:rPr>
          <w:rFonts w:ascii="Verdana" w:hAnsi="Verdana"/>
          <w:sz w:val="20"/>
          <w:szCs w:val="20"/>
        </w:rPr>
      </w:pPr>
      <w:r w:rsidRPr="00A1308A">
        <w:rPr>
          <w:rFonts w:ascii="Verdana" w:hAnsi="Verdana"/>
          <w:sz w:val="20"/>
          <w:szCs w:val="20"/>
        </w:rPr>
        <w:t xml:space="preserve">In alcuni casi, i valori sono stati selezionati perché sono comunemente usati in altri studi di modellazione atmosferica (ad esempio una riflettività uniforme del terreno del 15%). In termini di </w:t>
      </w:r>
      <w:proofErr w:type="gramStart"/>
      <w:r w:rsidRPr="00A1308A">
        <w:rPr>
          <w:rFonts w:ascii="Verdana" w:hAnsi="Verdana"/>
          <w:sz w:val="20"/>
          <w:szCs w:val="20"/>
        </w:rPr>
        <w:t>caratteristiche  di</w:t>
      </w:r>
      <w:proofErr w:type="gramEnd"/>
      <w:r w:rsidRPr="00A1308A">
        <w:rPr>
          <w:rFonts w:ascii="Verdana" w:hAnsi="Verdana"/>
          <w:sz w:val="20"/>
          <w:szCs w:val="20"/>
        </w:rPr>
        <w:t xml:space="preserve"> illuminazione, sono stati confrontati quattro livelli di uplight (0%, 2%, 5% e 10%) e due percentuali di lumen output (100% e 50%). Questi ultimi sono stati scelti per mostrare l'influenza relativa dell'uscita lumen al posto dei valori assoluti di lumen, dato l'ampia variazione delle uscite dei prodotti all'interno di una singola installazione e l'intento di questo studio per essere più generico nei suoi risultati. Infine, sono state modellate 10 differenti SPD provenienti da prodotti reali di diversi tipi di sorgenti luminose e CCT</w:t>
      </w:r>
      <w:r w:rsidR="00135233">
        <w:rPr>
          <w:rFonts w:ascii="Verdana" w:hAnsi="Verdana"/>
          <w:sz w:val="20"/>
          <w:szCs w:val="20"/>
        </w:rPr>
        <w:t>s (Correlated Color T</w:t>
      </w:r>
      <w:r w:rsidR="00135233" w:rsidRPr="00135233">
        <w:rPr>
          <w:rFonts w:ascii="Verdana" w:hAnsi="Verdana"/>
          <w:sz w:val="20"/>
          <w:szCs w:val="20"/>
        </w:rPr>
        <w:t>emperatures</w:t>
      </w:r>
      <w:r w:rsidR="00135233">
        <w:rPr>
          <w:rFonts w:ascii="Verdana" w:hAnsi="Verdana"/>
          <w:sz w:val="20"/>
          <w:szCs w:val="20"/>
        </w:rPr>
        <w:t>)</w:t>
      </w:r>
      <w:r w:rsidRPr="00A1308A">
        <w:rPr>
          <w:rFonts w:ascii="Verdana" w:hAnsi="Verdana"/>
          <w:sz w:val="20"/>
          <w:szCs w:val="20"/>
        </w:rPr>
        <w:t>, insieme ad una fonte ipotetica la cui uscita di energia radiante è uguale in tutto lo spettro visibile. Lo spettro di energia uguale è stato incluso specificamente per indagare l'influenza delle singole bande di lunghezza d'onda sul bagliore del cielo, in incrementi di 5 nm da 380 a 780 nm, per identificare quali lunghezze d'onda contribuiscono maggiormente al bagliore di cielo in condizioni diverse.</w:t>
      </w:r>
      <w:r w:rsidRPr="00A1308A">
        <w:rPr>
          <w:rFonts w:ascii="Verdana" w:hAnsi="Verdana"/>
          <w:sz w:val="20"/>
          <w:szCs w:val="20"/>
        </w:rPr>
        <w:br/>
        <w:t>Il modello calcola gli impatti del bagliore di cielo dall'illuminazione stradale in termini di irradianza diffusa (W / m2) o illuminazione (scotopic-cd / m2 / sr o scotopic-lux) sul piano orizzontale, incidente su un osservatore per l'intera cupola del cielo notturno. Per facilitare i confronti, questi risultati sono poi riportati relativamente alle condizioni di base come multipli o loro frazioni. I risultati sono riportati sia come incandescenza del cielo che riflettono il potere radiante grezzo del cielo incandescente che si verifica sul punto di osservazione, e lo scintigrafia ponderata del cielo per meglio rappresentare il suo impatto visivo sull'osservazione umana del cielo notturno.</w:t>
      </w:r>
      <w:r w:rsidRPr="00A1308A">
        <w:rPr>
          <w:rFonts w:ascii="Verdana" w:hAnsi="Verdana"/>
          <w:sz w:val="20"/>
          <w:szCs w:val="20"/>
        </w:rPr>
        <w:br/>
        <w:t>In definitiva, il bagliore del cielo non è determinato da un singolo fattore ma dalla combinazione di fattori presenti in una determinata situazione. Le figure ES1 e ES.2 mostrano una progressione degli effetti da combinare successivamente i differenti fattori modellati, dividendo i risultati in impatti di incandescenza per l'osservatore "vicino" situato al margine della città (figura ES.1) e per Osservatore "lontano" situato a 40 km dal centro della città (Figura ES.2). Ogni grafica è ulteriormente suddivisa da risultati ponderati o scotopically, per condizioni atmosferiche (ATM1-4 che rappresenta un intervallo da atmosfere chiare a quelle sempre più turbolenti, ATM5 che rappresenta la copertura cloud completa) e infine dalla SPD della fonte. I grafici mostrano anche i risultati di incandescenza del cielo per un incumbent HPS (visualizzato come linea rossa tratteggiata impostata a 1.0), ma non mostrano i risultati di due fonti aggiuntive che sono state modellate e sono contenute nel corpo principale di questo report, un 4000 K source di alogenuri metallici e una sorgente di sodio a bassa pressione, né includono l'ipotetico spettro di uguale energia.</w:t>
      </w:r>
    </w:p>
    <w:p w:rsidR="00C767CE" w:rsidRPr="00A1308A" w:rsidRDefault="00C767CE" w:rsidP="000E62A0">
      <w:pPr>
        <w:pStyle w:val="Default"/>
        <w:rPr>
          <w:rFonts w:ascii="Verdana" w:hAnsi="Verdana"/>
          <w:sz w:val="20"/>
          <w:szCs w:val="20"/>
        </w:rPr>
      </w:pPr>
    </w:p>
    <w:p w:rsidR="00C767CE" w:rsidRPr="00A1308A" w:rsidRDefault="00C767CE" w:rsidP="000E62A0">
      <w:pPr>
        <w:pStyle w:val="Default"/>
        <w:rPr>
          <w:rFonts w:ascii="Verdana" w:hAnsi="Verdana"/>
          <w:sz w:val="20"/>
          <w:szCs w:val="20"/>
        </w:rPr>
      </w:pPr>
      <w:r w:rsidRPr="00A1308A">
        <w:rPr>
          <w:rFonts w:ascii="Verdana" w:hAnsi="Verdana"/>
          <w:sz w:val="20"/>
          <w:szCs w:val="20"/>
        </w:rPr>
        <w:t xml:space="preserve">I risultati sono visualizzati in tre livelli progressivi: il grafico in alto mostra l'effetto isolato di sostituire l'HPS (High Pressure Sodum (lamp)) SPD (Spectral Power Distribution) di base con i vari altri SPD a LED modellati senza altre modifiche; Il grafico centrale aggiunge l'effetto di ridurre la metà dell'uscita del lumen lampada rispetto alla linea di base HPS (un risultato tipico per le conversioni negli Stati Uniti); E il grafico inferiore aggiunge ulteriormente l'impatto dell'eliminazione della luce d'urto dagli </w:t>
      </w:r>
      <w:r w:rsidR="00D56039">
        <w:rPr>
          <w:rFonts w:ascii="Verdana" w:hAnsi="Verdana"/>
          <w:sz w:val="20"/>
          <w:szCs w:val="20"/>
        </w:rPr>
        <w:t>impianti</w:t>
      </w:r>
      <w:r w:rsidRPr="00A1308A">
        <w:rPr>
          <w:rFonts w:ascii="Verdana" w:hAnsi="Verdana"/>
          <w:sz w:val="20"/>
          <w:szCs w:val="20"/>
        </w:rPr>
        <w:t xml:space="preserve">, assumendo un valore tipico di base di HPS del 2%. </w:t>
      </w:r>
      <w:r w:rsidRPr="00A1308A">
        <w:rPr>
          <w:rFonts w:ascii="Verdana" w:hAnsi="Verdana"/>
          <w:b/>
          <w:sz w:val="20"/>
          <w:szCs w:val="20"/>
        </w:rPr>
        <w:t>I grafici inferiori in entrambe le figure rappresentano pertanto tipici scenari di conversione negli Stati Uniti: un prodotto a testa cobra HPS incandescente con una percentuale di uplight del 2% sostituita da ciascuno dei prodotti a LED elencati, a metà della luce e dello 0% di uplight</w:t>
      </w:r>
      <w:r w:rsidRPr="00A1308A">
        <w:rPr>
          <w:rFonts w:ascii="Verdana" w:hAnsi="Verdana"/>
          <w:sz w:val="20"/>
          <w:szCs w:val="20"/>
        </w:rPr>
        <w:t>. Si noti che i valori rappresentano condizioni statiche, e quindi non includono alcuna ulteriore riduzione possibile attraverso l'uso di illuminazione adattativa (ad esempio dimmerizzazione). Tali impatti potrebbero essere significativi in quanto i contributi alla scala di incandescenza del cielo direttamente con l'uscita di luce.</w:t>
      </w:r>
    </w:p>
    <w:p w:rsidR="000E62A0" w:rsidRDefault="000E62A0" w:rsidP="000E62A0">
      <w:r w:rsidRPr="000E62A0">
        <w:rPr>
          <w:noProof/>
          <w:lang w:eastAsia="it-IT"/>
        </w:rPr>
        <w:lastRenderedPageBreak/>
        <w:drawing>
          <wp:inline distT="0" distB="0" distL="0" distR="0">
            <wp:extent cx="6120130" cy="7810326"/>
            <wp:effectExtent l="0" t="0" r="0" b="63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810326"/>
                    </a:xfrm>
                    <a:prstGeom prst="rect">
                      <a:avLst/>
                    </a:prstGeom>
                    <a:noFill/>
                    <a:ln>
                      <a:noFill/>
                    </a:ln>
                  </pic:spPr>
                </pic:pic>
              </a:graphicData>
            </a:graphic>
          </wp:inline>
        </w:drawing>
      </w:r>
    </w:p>
    <w:p w:rsidR="00D56039" w:rsidRDefault="0014090C">
      <w:pPr>
        <w:rPr>
          <w:sz w:val="18"/>
          <w:szCs w:val="18"/>
        </w:rPr>
      </w:pPr>
      <w:r w:rsidRPr="0014090C">
        <w:rPr>
          <w:sz w:val="18"/>
          <w:szCs w:val="18"/>
        </w:rPr>
        <w:t>Figura ES.1 Risultati delle conversioni a LED di illuminazione stradale, dalla posizione vicina all'osservatore al margine della città. Ogni grafico mostra il relativo contributo irradiante di skyglow da luci di strada rispetto alla linea di base di HPS. Il grafico superiore mostra l'effetto isolato di sostituire la linea di base HPS SPD con quella dei vari altri SPD modellati; Il grafico a metà aggiunge l'effetto di ridurre l'uscita dell'</w:t>
      </w:r>
      <w:r w:rsidR="00D56039">
        <w:rPr>
          <w:sz w:val="18"/>
          <w:szCs w:val="18"/>
        </w:rPr>
        <w:t>impianto</w:t>
      </w:r>
      <w:r w:rsidRPr="0014090C">
        <w:rPr>
          <w:sz w:val="18"/>
          <w:szCs w:val="18"/>
        </w:rPr>
        <w:t xml:space="preserve"> per metà rispetto alla linea di base HPS; Il grafico inferiore aggiunge ulteriormente l'impatto dell'eliminazione dell</w:t>
      </w:r>
      <w:r w:rsidR="00516A4D">
        <w:rPr>
          <w:sz w:val="18"/>
          <w:szCs w:val="18"/>
        </w:rPr>
        <w:t>’emissione verso l’alto dei lampioni</w:t>
      </w:r>
      <w:r w:rsidRPr="0014090C">
        <w:rPr>
          <w:sz w:val="18"/>
          <w:szCs w:val="18"/>
        </w:rPr>
        <w:t>, assumendo un valore tipico di base di HPS del 2% (notare che questo rappresenta un incremento rispetto ai primi due grafici utilizzando il 0%). La linea di base è rappresentata dalla linea rossa tratteggiata al valore normalizzato di 1.0.</w:t>
      </w:r>
    </w:p>
    <w:p w:rsidR="000E62A0" w:rsidRPr="0014090C" w:rsidRDefault="000E62A0">
      <w:pPr>
        <w:rPr>
          <w:sz w:val="18"/>
          <w:szCs w:val="18"/>
        </w:rPr>
      </w:pPr>
      <w:r w:rsidRPr="0014090C">
        <w:rPr>
          <w:sz w:val="18"/>
          <w:szCs w:val="18"/>
        </w:rPr>
        <w:br w:type="page"/>
      </w:r>
    </w:p>
    <w:p w:rsidR="000E62A0" w:rsidRDefault="000E62A0" w:rsidP="000E62A0">
      <w:r w:rsidRPr="000E62A0">
        <w:rPr>
          <w:noProof/>
          <w:lang w:eastAsia="it-IT"/>
        </w:rPr>
        <w:lastRenderedPageBreak/>
        <w:drawing>
          <wp:inline distT="0" distB="0" distL="0" distR="0">
            <wp:extent cx="6120130" cy="769202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7692024"/>
                    </a:xfrm>
                    <a:prstGeom prst="rect">
                      <a:avLst/>
                    </a:prstGeom>
                    <a:noFill/>
                    <a:ln>
                      <a:noFill/>
                    </a:ln>
                  </pic:spPr>
                </pic:pic>
              </a:graphicData>
            </a:graphic>
          </wp:inline>
        </w:drawing>
      </w:r>
      <w:r w:rsidR="00A1308A" w:rsidRPr="00A1308A">
        <w:t xml:space="preserve"> </w:t>
      </w:r>
      <w:r w:rsidR="00A1308A" w:rsidRPr="00A1308A">
        <w:rPr>
          <w:sz w:val="18"/>
          <w:szCs w:val="18"/>
        </w:rPr>
        <w:t>Figura ES.2 Risultati delle conversioni di illuminazione stradale a LED, dalla posizione distante dell'osservatore a 40 km dal centro città. Ogni grafico mostra il relativo contributo irradiante di skyglow da luci di strada rispetto alla linea di base di HPS. Il grafico superiore mostra l'effetto isolato di sostituire la linea di base HPS SPD con quella dei vari altri SPD modellati; Il grafico a metà aggiunge l'effetto di</w:t>
      </w:r>
      <w:r w:rsidR="00D56039">
        <w:rPr>
          <w:sz w:val="18"/>
          <w:szCs w:val="18"/>
        </w:rPr>
        <w:t xml:space="preserve"> ridurre l'uscita dell'</w:t>
      </w:r>
      <w:r w:rsidR="00A1308A" w:rsidRPr="00A1308A">
        <w:rPr>
          <w:sz w:val="18"/>
          <w:szCs w:val="18"/>
        </w:rPr>
        <w:t>i</w:t>
      </w:r>
      <w:r w:rsidR="00D56039">
        <w:rPr>
          <w:sz w:val="18"/>
          <w:szCs w:val="18"/>
        </w:rPr>
        <w:t>mpiant</w:t>
      </w:r>
      <w:r w:rsidR="00A1308A" w:rsidRPr="00A1308A">
        <w:rPr>
          <w:sz w:val="18"/>
          <w:szCs w:val="18"/>
        </w:rPr>
        <w:t xml:space="preserve">o per metà rispetto alla linea di base HPS; Il grafico inferiore aggiunge ulteriormente l'impatto dell'eliminazione della spia luminosa dagli </w:t>
      </w:r>
      <w:r w:rsidR="00D56039">
        <w:rPr>
          <w:sz w:val="18"/>
          <w:szCs w:val="18"/>
        </w:rPr>
        <w:t>impianti</w:t>
      </w:r>
      <w:r w:rsidR="00A1308A" w:rsidRPr="00A1308A">
        <w:rPr>
          <w:sz w:val="18"/>
          <w:szCs w:val="18"/>
        </w:rPr>
        <w:t>, assumendo un valore tipico di base di HPS del 2% (notare che questo rappresenta un incremento rispetto ai primi due grafici utilizzando il 0%). La linea di base è rappresentata dalla linea rossa tratteggiata al valore normalizzato di 1.0.</w:t>
      </w:r>
    </w:p>
    <w:p w:rsidR="00A1308A" w:rsidRPr="00135233" w:rsidRDefault="00A1308A" w:rsidP="00A1308A">
      <w:pPr>
        <w:pStyle w:val="Default"/>
        <w:pageBreakBefore/>
        <w:rPr>
          <w:rFonts w:ascii="Verdana" w:hAnsi="Verdana"/>
          <w:sz w:val="20"/>
          <w:szCs w:val="20"/>
        </w:rPr>
      </w:pPr>
      <w:r w:rsidRPr="00135233">
        <w:rPr>
          <w:rFonts w:ascii="Verdana" w:hAnsi="Verdana"/>
          <w:sz w:val="20"/>
          <w:szCs w:val="20"/>
        </w:rPr>
        <w:lastRenderedPageBreak/>
        <w:t>Una scoperta fondamentale è che, in una tipica conversione Usa, tutti i prodotti a LED riducono il bagliore del cielo quando i risultati sono non ponderati, sia per gli osservatori vicini che distanti. Ogni barra nei grafici illustra l'intervallo di impatto di incandescenza possibile, dal minimo al massimo, tenuto conto delle condizioni fisse indicate (condizioni atmosferiche [ATMX], sorgente SPD e ponderazione), consentendo a</w:t>
      </w:r>
      <w:r w:rsidR="003C1AB9" w:rsidRPr="00135233">
        <w:rPr>
          <w:rFonts w:ascii="Verdana" w:hAnsi="Verdana"/>
          <w:sz w:val="20"/>
          <w:szCs w:val="20"/>
        </w:rPr>
        <w:t>l</w:t>
      </w:r>
      <w:r w:rsidRPr="00135233">
        <w:rPr>
          <w:rFonts w:ascii="Verdana" w:hAnsi="Verdana"/>
          <w:sz w:val="20"/>
          <w:szCs w:val="20"/>
        </w:rPr>
        <w:t xml:space="preserve">le altre variabili </w:t>
      </w:r>
      <w:r w:rsidR="003C1AB9" w:rsidRPr="00135233">
        <w:rPr>
          <w:rFonts w:ascii="Verdana" w:hAnsi="Verdana"/>
          <w:sz w:val="20"/>
          <w:szCs w:val="20"/>
        </w:rPr>
        <w:t xml:space="preserve">di trovarsi </w:t>
      </w:r>
      <w:r w:rsidRPr="00135233">
        <w:rPr>
          <w:rFonts w:ascii="Verdana" w:hAnsi="Verdana"/>
          <w:sz w:val="20"/>
          <w:szCs w:val="20"/>
        </w:rPr>
        <w:t xml:space="preserve">entro i loro intervalli definiti. </w:t>
      </w:r>
      <w:r w:rsidR="003C1AB9" w:rsidRPr="00135233">
        <w:rPr>
          <w:rFonts w:ascii="Verdana" w:hAnsi="Verdana"/>
          <w:sz w:val="20"/>
          <w:szCs w:val="20"/>
        </w:rPr>
        <w:t>Quando i risultati sono invece</w:t>
      </w:r>
      <w:r w:rsidRPr="00135233">
        <w:rPr>
          <w:rFonts w:ascii="Verdana" w:hAnsi="Verdana"/>
          <w:sz w:val="20"/>
          <w:szCs w:val="20"/>
        </w:rPr>
        <w:t xml:space="preserve"> ponderati per valutare gli effetti sulla visione umana </w:t>
      </w:r>
      <w:r w:rsidR="003C1AB9" w:rsidRPr="00135233">
        <w:rPr>
          <w:rFonts w:ascii="Verdana" w:hAnsi="Verdana"/>
          <w:sz w:val="20"/>
          <w:szCs w:val="20"/>
        </w:rPr>
        <w:t xml:space="preserve">scotopica </w:t>
      </w:r>
      <w:r w:rsidRPr="00135233">
        <w:rPr>
          <w:rFonts w:ascii="Verdana" w:hAnsi="Verdana"/>
          <w:sz w:val="20"/>
          <w:szCs w:val="20"/>
        </w:rPr>
        <w:t>(cioè la visibilità del cielo notturno)</w:t>
      </w:r>
      <w:r w:rsidR="003C1AB9" w:rsidRPr="00135233">
        <w:rPr>
          <w:rFonts w:ascii="Verdana" w:hAnsi="Verdana"/>
          <w:sz w:val="20"/>
          <w:szCs w:val="20"/>
        </w:rPr>
        <w:t xml:space="preserve"> (visione ad alta sensibilità monocromatica &lt; di 1 mcd/m² dovuta ai bastocelli)</w:t>
      </w:r>
      <w:r w:rsidRPr="00135233">
        <w:rPr>
          <w:rFonts w:ascii="Verdana" w:hAnsi="Verdana"/>
          <w:sz w:val="20"/>
          <w:szCs w:val="20"/>
        </w:rPr>
        <w:t xml:space="preserve">, alcuni prodotti LED riducono il bagliore del cielo per l'osservatore vicino e </w:t>
      </w:r>
      <w:r w:rsidR="003C1AB9" w:rsidRPr="00135233">
        <w:rPr>
          <w:rFonts w:ascii="Verdana" w:hAnsi="Verdana"/>
          <w:sz w:val="20"/>
          <w:szCs w:val="20"/>
        </w:rPr>
        <w:t>altri aumento rispetto al riferimento HPS</w:t>
      </w:r>
      <w:r w:rsidRPr="00135233">
        <w:rPr>
          <w:rFonts w:ascii="Verdana" w:hAnsi="Verdana"/>
          <w:sz w:val="20"/>
          <w:szCs w:val="20"/>
        </w:rPr>
        <w:t xml:space="preserve">. Un'altra nota rilevante nei risultati della modellazione è che il CCT </w:t>
      </w:r>
      <w:r w:rsidR="00135233">
        <w:rPr>
          <w:rFonts w:ascii="Verdana" w:hAnsi="Verdana"/>
          <w:sz w:val="20"/>
          <w:szCs w:val="20"/>
        </w:rPr>
        <w:t>(Correlated Color Temperature)</w:t>
      </w:r>
      <w:r w:rsidR="00135233" w:rsidRPr="00A1308A">
        <w:rPr>
          <w:rFonts w:ascii="Verdana" w:hAnsi="Verdana"/>
          <w:sz w:val="20"/>
          <w:szCs w:val="20"/>
        </w:rPr>
        <w:t xml:space="preserve">, </w:t>
      </w:r>
      <w:r w:rsidRPr="00135233">
        <w:rPr>
          <w:rFonts w:ascii="Verdana" w:hAnsi="Verdana"/>
          <w:sz w:val="20"/>
          <w:szCs w:val="20"/>
        </w:rPr>
        <w:t xml:space="preserve">non è un indicatore molto affidabile degli impatti di incandescenza, soprattutto quando non viene applicata la ponderazione scotopica (evidente nelle prestazioni irregolari e sovrapposte degli SPD quando ordinata aumentando la CCT). La gamma complessiva di risultati per gli </w:t>
      </w:r>
      <w:r w:rsidR="00D56039">
        <w:rPr>
          <w:rFonts w:ascii="Verdana" w:hAnsi="Verdana"/>
          <w:sz w:val="20"/>
          <w:szCs w:val="20"/>
        </w:rPr>
        <w:t>impianti</w:t>
      </w:r>
      <w:r w:rsidRPr="00135233">
        <w:rPr>
          <w:rFonts w:ascii="Verdana" w:hAnsi="Verdana"/>
          <w:sz w:val="20"/>
          <w:szCs w:val="20"/>
        </w:rPr>
        <w:t xml:space="preserve"> a LED in quasi tutte le condizioni per l'osservatore vicino è da circa 0,4 a 0,8 volte la luminosità del cielo di base HPS non ponderata e 0,2 a 1,6 volt</w:t>
      </w:r>
      <w:r w:rsidR="00135233">
        <w:rPr>
          <w:rFonts w:ascii="Verdana" w:hAnsi="Verdana"/>
          <w:sz w:val="20"/>
          <w:szCs w:val="20"/>
        </w:rPr>
        <w:t>e la luminosità del cielo di riferimento</w:t>
      </w:r>
      <w:r w:rsidRPr="00135233">
        <w:rPr>
          <w:rFonts w:ascii="Verdana" w:hAnsi="Verdana"/>
          <w:sz w:val="20"/>
          <w:szCs w:val="20"/>
        </w:rPr>
        <w:t xml:space="preserve"> HPS a livello scotopico. </w:t>
      </w:r>
      <w:r w:rsidRPr="00A42491">
        <w:rPr>
          <w:rFonts w:ascii="Verdana" w:hAnsi="Verdana"/>
          <w:color w:val="FF0000"/>
          <w:sz w:val="20"/>
          <w:szCs w:val="20"/>
        </w:rPr>
        <w:t>Per l'osservatore lontano, anche a soli 40 km (circa 25 miglia) dal centro della città, l'eliminazione della</w:t>
      </w:r>
      <w:r w:rsidR="00135233" w:rsidRPr="00A42491">
        <w:rPr>
          <w:rFonts w:ascii="Verdana" w:hAnsi="Verdana"/>
          <w:color w:val="FF0000"/>
          <w:sz w:val="20"/>
          <w:szCs w:val="20"/>
        </w:rPr>
        <w:t xml:space="preserve"> emissione luminosa verso l’alto</w:t>
      </w:r>
      <w:r w:rsidRPr="00A42491">
        <w:rPr>
          <w:rFonts w:ascii="Verdana" w:hAnsi="Verdana"/>
          <w:color w:val="FF0000"/>
          <w:sz w:val="20"/>
          <w:szCs w:val="20"/>
        </w:rPr>
        <w:t xml:space="preserve"> </w:t>
      </w:r>
      <w:r w:rsidR="00135233" w:rsidRPr="00A42491">
        <w:rPr>
          <w:rFonts w:ascii="Verdana" w:hAnsi="Verdana"/>
          <w:color w:val="FF0000"/>
          <w:sz w:val="20"/>
          <w:szCs w:val="20"/>
        </w:rPr>
        <w:t>de</w:t>
      </w:r>
      <w:r w:rsidRPr="00A42491">
        <w:rPr>
          <w:rFonts w:ascii="Verdana" w:hAnsi="Verdana"/>
          <w:color w:val="FF0000"/>
          <w:sz w:val="20"/>
          <w:szCs w:val="20"/>
        </w:rPr>
        <w:t xml:space="preserve">gli </w:t>
      </w:r>
      <w:r w:rsidR="00D56039">
        <w:rPr>
          <w:rFonts w:ascii="Verdana" w:hAnsi="Verdana"/>
          <w:color w:val="FF0000"/>
          <w:sz w:val="20"/>
          <w:szCs w:val="20"/>
        </w:rPr>
        <w:t>impianti</w:t>
      </w:r>
      <w:r w:rsidRPr="00A42491">
        <w:rPr>
          <w:rFonts w:ascii="Verdana" w:hAnsi="Verdana"/>
          <w:color w:val="FF0000"/>
          <w:sz w:val="20"/>
          <w:szCs w:val="20"/>
        </w:rPr>
        <w:t xml:space="preserve"> è quasi rimossa (del 95% o più) il contributo al bagliore del cielo dal sistema di illuminazione stradale</w:t>
      </w:r>
      <w:r w:rsidRPr="00135233">
        <w:rPr>
          <w:rFonts w:ascii="Verdana" w:hAnsi="Verdana"/>
          <w:sz w:val="20"/>
          <w:szCs w:val="20"/>
        </w:rPr>
        <w:t>, per entrambi I risult</w:t>
      </w:r>
      <w:r w:rsidR="00135233">
        <w:rPr>
          <w:rFonts w:ascii="Verdana" w:hAnsi="Verdana"/>
          <w:sz w:val="20"/>
          <w:szCs w:val="20"/>
        </w:rPr>
        <w:t>ati non ponderati e scotopicamente</w:t>
      </w:r>
      <w:r w:rsidRPr="00135233">
        <w:rPr>
          <w:rFonts w:ascii="Verdana" w:hAnsi="Verdana"/>
          <w:sz w:val="20"/>
          <w:szCs w:val="20"/>
        </w:rPr>
        <w:t>, in tutte le condizioni atmosferiche. Va anche rilevato qui che questo sforzo di modellazione non ha consi</w:t>
      </w:r>
      <w:r w:rsidR="00A42491">
        <w:rPr>
          <w:rFonts w:ascii="Verdana" w:hAnsi="Verdana"/>
          <w:sz w:val="20"/>
          <w:szCs w:val="20"/>
        </w:rPr>
        <w:t>derato effetti di ostruzione di edifici o terreni.</w:t>
      </w:r>
      <w:r w:rsidRPr="00135233">
        <w:rPr>
          <w:rFonts w:ascii="Verdana" w:hAnsi="Verdana"/>
          <w:sz w:val="20"/>
          <w:szCs w:val="20"/>
        </w:rPr>
        <w:t xml:space="preserve"> In luoghi in cui tali ostacoli bloccano già l'illuminazione a basso angolo, l'eliminazione della luce d'urto dagli </w:t>
      </w:r>
      <w:r w:rsidR="00D56039">
        <w:rPr>
          <w:rFonts w:ascii="Verdana" w:hAnsi="Verdana"/>
          <w:sz w:val="20"/>
          <w:szCs w:val="20"/>
        </w:rPr>
        <w:t>impianti</w:t>
      </w:r>
      <w:r w:rsidRPr="00135233">
        <w:rPr>
          <w:rFonts w:ascii="Verdana" w:hAnsi="Verdana"/>
          <w:sz w:val="20"/>
          <w:szCs w:val="20"/>
        </w:rPr>
        <w:t xml:space="preserve"> non avrà un effetto drammatico. Fatta eccezione per le installazioni effettuate nei primi anni delle conversioni a LED di illuminazione stradale (prima </w:t>
      </w:r>
      <w:r w:rsidR="00A42491" w:rsidRPr="00135233">
        <w:rPr>
          <w:rFonts w:ascii="Verdana" w:hAnsi="Verdana"/>
          <w:sz w:val="20"/>
          <w:szCs w:val="20"/>
        </w:rPr>
        <w:t xml:space="preserve">circa </w:t>
      </w:r>
      <w:r w:rsidRPr="00135233">
        <w:rPr>
          <w:rFonts w:ascii="Verdana" w:hAnsi="Verdana"/>
          <w:sz w:val="20"/>
          <w:szCs w:val="20"/>
        </w:rPr>
        <w:t xml:space="preserve">del 2010), fino ad oggi hanno coinvolto </w:t>
      </w:r>
      <w:r w:rsidR="00A42491" w:rsidRPr="00135233">
        <w:rPr>
          <w:rFonts w:ascii="Verdana" w:hAnsi="Verdana"/>
          <w:sz w:val="20"/>
          <w:szCs w:val="20"/>
        </w:rPr>
        <w:t xml:space="preserve">prodotti </w:t>
      </w:r>
      <w:r w:rsidR="00A42491">
        <w:rPr>
          <w:rFonts w:ascii="Verdana" w:hAnsi="Verdana"/>
          <w:sz w:val="20"/>
          <w:szCs w:val="20"/>
        </w:rPr>
        <w:t xml:space="preserve">con </w:t>
      </w:r>
      <w:r w:rsidRPr="00135233">
        <w:rPr>
          <w:rFonts w:ascii="Verdana" w:hAnsi="Verdana"/>
          <w:sz w:val="20"/>
          <w:szCs w:val="20"/>
        </w:rPr>
        <w:t xml:space="preserve">4000 K CCT. (A partire dal 2016, alcuni siti hanno anche iniziato a considerare o installare </w:t>
      </w:r>
      <w:r w:rsidR="00A42491" w:rsidRPr="00135233">
        <w:rPr>
          <w:rFonts w:ascii="Verdana" w:hAnsi="Verdana"/>
          <w:sz w:val="20"/>
          <w:szCs w:val="20"/>
        </w:rPr>
        <w:t xml:space="preserve">prodotti </w:t>
      </w:r>
      <w:r w:rsidR="00A42491">
        <w:rPr>
          <w:rFonts w:ascii="Verdana" w:hAnsi="Verdana"/>
          <w:sz w:val="20"/>
          <w:szCs w:val="20"/>
        </w:rPr>
        <w:t xml:space="preserve">a </w:t>
      </w:r>
      <w:r w:rsidRPr="00135233">
        <w:rPr>
          <w:rFonts w:ascii="Verdana" w:hAnsi="Verdana"/>
          <w:sz w:val="20"/>
          <w:szCs w:val="20"/>
        </w:rPr>
        <w:t>3000 K n</w:t>
      </w:r>
      <w:r w:rsidR="00A42491">
        <w:rPr>
          <w:rFonts w:ascii="Verdana" w:hAnsi="Verdana"/>
          <w:sz w:val="20"/>
          <w:szCs w:val="20"/>
        </w:rPr>
        <w:t>ei loro progetti di conversione</w:t>
      </w:r>
      <w:r w:rsidRPr="00135233">
        <w:rPr>
          <w:rFonts w:ascii="Verdana" w:hAnsi="Verdana"/>
          <w:sz w:val="20"/>
          <w:szCs w:val="20"/>
        </w:rPr>
        <w:t>)</w:t>
      </w:r>
      <w:r w:rsidR="00A42491">
        <w:rPr>
          <w:rFonts w:ascii="Verdana" w:hAnsi="Verdana"/>
          <w:sz w:val="20"/>
          <w:szCs w:val="20"/>
        </w:rPr>
        <w:t>.</w:t>
      </w:r>
      <w:r w:rsidRPr="00135233">
        <w:rPr>
          <w:rFonts w:ascii="Verdana" w:hAnsi="Verdana"/>
          <w:sz w:val="20"/>
          <w:szCs w:val="20"/>
        </w:rPr>
        <w:t xml:space="preserve"> Anche se questo non può essere confermato senza analizzare gli SPD specifici per i nuovi sistemi a LED, questo studio suggerisce che, per i resident</w:t>
      </w:r>
      <w:r w:rsidR="00A42491">
        <w:rPr>
          <w:rFonts w:ascii="Verdana" w:hAnsi="Verdana"/>
          <w:sz w:val="20"/>
          <w:szCs w:val="20"/>
        </w:rPr>
        <w:t>i nelle vicinanze della città, i</w:t>
      </w:r>
      <w:r w:rsidRPr="00135233">
        <w:rPr>
          <w:rFonts w:ascii="Verdana" w:hAnsi="Verdana"/>
          <w:sz w:val="20"/>
          <w:szCs w:val="20"/>
        </w:rPr>
        <w:t xml:space="preserve">l contributo al </w:t>
      </w:r>
      <w:r w:rsidR="00A42491">
        <w:rPr>
          <w:rFonts w:ascii="Verdana" w:hAnsi="Verdana"/>
          <w:sz w:val="20"/>
          <w:szCs w:val="20"/>
        </w:rPr>
        <w:t xml:space="preserve">chiarore </w:t>
      </w:r>
      <w:r w:rsidRPr="00135233">
        <w:rPr>
          <w:rFonts w:ascii="Verdana" w:hAnsi="Verdana"/>
          <w:sz w:val="20"/>
          <w:szCs w:val="20"/>
        </w:rPr>
        <w:t xml:space="preserve">del cielo </w:t>
      </w:r>
      <w:r w:rsidR="00A42491">
        <w:rPr>
          <w:rFonts w:ascii="Verdana" w:hAnsi="Verdana"/>
          <w:sz w:val="20"/>
          <w:szCs w:val="20"/>
        </w:rPr>
        <w:t xml:space="preserve">notturno provocato </w:t>
      </w:r>
      <w:r w:rsidRPr="00135233">
        <w:rPr>
          <w:rFonts w:ascii="Verdana" w:hAnsi="Verdana"/>
          <w:sz w:val="20"/>
          <w:szCs w:val="20"/>
        </w:rPr>
        <w:t>da una conversione tipica della luce stradale (</w:t>
      </w:r>
      <w:r w:rsidRPr="00A42491">
        <w:rPr>
          <w:rFonts w:ascii="Verdana" w:hAnsi="Verdana"/>
          <w:color w:val="FF0000"/>
          <w:sz w:val="20"/>
          <w:szCs w:val="20"/>
        </w:rPr>
        <w:t xml:space="preserve">cioè la metà dell'output, </w:t>
      </w:r>
      <w:r w:rsidR="00A42491" w:rsidRPr="00A42491">
        <w:rPr>
          <w:rFonts w:ascii="Verdana" w:hAnsi="Verdana"/>
          <w:color w:val="FF0000"/>
          <w:sz w:val="20"/>
          <w:szCs w:val="20"/>
        </w:rPr>
        <w:t xml:space="preserve">con </w:t>
      </w:r>
      <w:r w:rsidRPr="00A42491">
        <w:rPr>
          <w:rFonts w:ascii="Verdana" w:hAnsi="Verdana"/>
          <w:color w:val="FF0000"/>
          <w:sz w:val="20"/>
          <w:szCs w:val="20"/>
        </w:rPr>
        <w:t>lo 0% di uplight</w:t>
      </w:r>
      <w:r w:rsidRPr="00135233">
        <w:rPr>
          <w:rFonts w:ascii="Verdana" w:hAnsi="Verdana"/>
          <w:sz w:val="20"/>
          <w:szCs w:val="20"/>
        </w:rPr>
        <w:t>) non dovrebbe essere peggiore di prima, ed è probabilmente migliorata. I risultati non ponderati sono più rilevanti per l'osservazione degli strumenti astronomici, per cui quando le condizioni modellate sono raggiunte, la luce del cielo dalle luci di strada dovrebbe essere considerevolmente ridotta (per circa un terzo a metà) per tutti gli osservatori vicini alla città. Lontano dalla città, il contributo incandescente del cielo dalla tipica conversione di illuminazione stradale a LED sembra trascurabile, a tutti gli SPD, per</w:t>
      </w:r>
      <w:r w:rsidR="00A42491">
        <w:rPr>
          <w:rFonts w:ascii="Verdana" w:hAnsi="Verdana"/>
          <w:sz w:val="20"/>
          <w:szCs w:val="20"/>
        </w:rPr>
        <w:t xml:space="preserve"> gli osservatori umani (ad es. r</w:t>
      </w:r>
      <w:r w:rsidRPr="00135233">
        <w:rPr>
          <w:rFonts w:ascii="Verdana" w:hAnsi="Verdana"/>
          <w:sz w:val="20"/>
          <w:szCs w:val="20"/>
        </w:rPr>
        <w:t>isultati ponderati in modo scotopico), nonché le apparecchiature astronomiche (ad esempio, risultati non ponderati). Sebbene la riduzione sia notevole anche a questa distanza relativamente breve di 40 km, l'illuminazione stradale deve essere nuovamente considerata nel contesto della contabilizzazione di una sola (ora ex) sorgente di cielo da un'area urbana, in quanto gli altri rimangono inalterati. Vicino alla città, i contributi del cielo illuminato dal sistema di illuminazione stradale possono essere ulteriormente ridotti sostituendo un prodotto LED con contenuti di lunghezza d'onda più corta, come spesso (anche se non sempre) trovati nelle opzioni CCT inferiori o, come</w:t>
      </w:r>
      <w:r w:rsidR="00A42491">
        <w:rPr>
          <w:rFonts w:ascii="Verdana" w:hAnsi="Verdana"/>
          <w:sz w:val="20"/>
          <w:szCs w:val="20"/>
        </w:rPr>
        <w:t xml:space="preserve"> noto, diminuendo la luce in uscita</w:t>
      </w:r>
      <w:r w:rsidRPr="00135233">
        <w:rPr>
          <w:rFonts w:ascii="Verdana" w:hAnsi="Verdana"/>
          <w:sz w:val="20"/>
          <w:szCs w:val="20"/>
        </w:rPr>
        <w:t xml:space="preserve"> tramite dimmerazione o eliminando le luci non necessarie. Il progettista potrebbe voler prendere in considerazione il valore aggiunto di perseguire tali riduzioni nel contesto del design complessivo del sistema. Que</w:t>
      </w:r>
      <w:r w:rsidR="00A42491">
        <w:rPr>
          <w:rFonts w:ascii="Verdana" w:hAnsi="Verdana"/>
          <w:sz w:val="20"/>
          <w:szCs w:val="20"/>
        </w:rPr>
        <w:t>sti includono determinare quanta</w:t>
      </w:r>
      <w:r w:rsidRPr="00135233">
        <w:rPr>
          <w:rFonts w:ascii="Verdana" w:hAnsi="Verdana"/>
          <w:sz w:val="20"/>
          <w:szCs w:val="20"/>
        </w:rPr>
        <w:t xml:space="preserve"> luce sia necessaria in una data posizione e come tali necessità possano cambiare nel corso dell'identificazione della serata in cui è necessaria la luce e, altrettanto importante, dove non lo è e scegliendo le caratter</w:t>
      </w:r>
      <w:r w:rsidR="00A42491">
        <w:rPr>
          <w:rFonts w:ascii="Verdana" w:hAnsi="Verdana"/>
          <w:sz w:val="20"/>
          <w:szCs w:val="20"/>
        </w:rPr>
        <w:t>istiche di colore dell'origine più appropriate</w:t>
      </w:r>
      <w:r w:rsidRPr="00135233">
        <w:rPr>
          <w:rFonts w:ascii="Verdana" w:hAnsi="Verdana"/>
          <w:sz w:val="20"/>
          <w:szCs w:val="20"/>
        </w:rPr>
        <w:t xml:space="preserve"> per l'uso specifico (e possibilmente, come possono cambiare anche nel corso della serata). L'arte nel design dell'illuminazione sta nel raggiungere l'equilibrio ottimale non solo tra questi elementi, ma anche nell'accogliere le considerazioni di sicurezza e di economia, estetica, preferenza dell'utente e eventuali ulteriori questioni da prendere in considerazione. L'ampia flessibilità delle sorgenti a LED offre molte scelte al progettista del sistema per perseguire l'equilibrio ottimale per ogni dato insieme di circostanze.</w:t>
      </w:r>
    </w:p>
    <w:p w:rsidR="00A1308A" w:rsidRDefault="00A1308A">
      <w:pPr>
        <w:rPr>
          <w:rFonts w:ascii="NCFLW L+ Gotham Narrow" w:hAnsi="NCFLW L+ Gotham Narrow" w:cs="NCFLW L+ Gotham Narrow"/>
          <w:color w:val="000000"/>
          <w:sz w:val="24"/>
          <w:szCs w:val="24"/>
        </w:rPr>
      </w:pPr>
      <w:r>
        <w:br w:type="page"/>
      </w:r>
    </w:p>
    <w:p w:rsidR="000E62A0" w:rsidRDefault="000E62A0" w:rsidP="00A1308A">
      <w:pPr>
        <w:pStyle w:val="Default"/>
        <w:pageBreakBefore/>
        <w:rPr>
          <w:sz w:val="22"/>
          <w:szCs w:val="22"/>
        </w:rPr>
      </w:pPr>
      <w:r>
        <w:rPr>
          <w:sz w:val="22"/>
          <w:szCs w:val="22"/>
        </w:rPr>
        <w:lastRenderedPageBreak/>
        <w:t xml:space="preserve">vii </w:t>
      </w:r>
    </w:p>
    <w:p w:rsidR="000E62A0" w:rsidRDefault="000E62A0" w:rsidP="000E62A0">
      <w:pPr>
        <w:pStyle w:val="Default"/>
        <w:rPr>
          <w:sz w:val="26"/>
          <w:szCs w:val="26"/>
        </w:rPr>
      </w:pPr>
      <w:r>
        <w:rPr>
          <w:rFonts w:ascii="Arial" w:hAnsi="Arial" w:cs="Arial"/>
          <w:b/>
          <w:bCs/>
          <w:sz w:val="26"/>
          <w:szCs w:val="26"/>
        </w:rPr>
        <w:t xml:space="preserve">Contents </w:t>
      </w:r>
    </w:p>
    <w:p w:rsidR="000E62A0" w:rsidRDefault="000E62A0" w:rsidP="000E62A0">
      <w:pPr>
        <w:pStyle w:val="Default"/>
        <w:rPr>
          <w:sz w:val="26"/>
          <w:szCs w:val="26"/>
        </w:rPr>
      </w:pPr>
      <w:r>
        <w:rPr>
          <w:sz w:val="21"/>
          <w:szCs w:val="21"/>
        </w:rPr>
        <w:t xml:space="preserve">Executive Summary ............................................................................................................................................................ ii </w:t>
      </w:r>
    </w:p>
    <w:p w:rsidR="000E62A0" w:rsidRDefault="000E62A0" w:rsidP="000E62A0">
      <w:pPr>
        <w:pStyle w:val="Default"/>
        <w:rPr>
          <w:sz w:val="26"/>
          <w:szCs w:val="26"/>
        </w:rPr>
      </w:pPr>
      <w:r>
        <w:rPr>
          <w:sz w:val="21"/>
          <w:szCs w:val="21"/>
        </w:rPr>
        <w:t xml:space="preserve">Contents ........................................................................................................................................................................... vii </w:t>
      </w:r>
    </w:p>
    <w:p w:rsidR="000E62A0" w:rsidRDefault="000E62A0" w:rsidP="000E62A0">
      <w:pPr>
        <w:pStyle w:val="Default"/>
        <w:rPr>
          <w:sz w:val="26"/>
          <w:szCs w:val="26"/>
        </w:rPr>
      </w:pPr>
      <w:r>
        <w:rPr>
          <w:sz w:val="21"/>
          <w:szCs w:val="21"/>
        </w:rPr>
        <w:t xml:space="preserve">1 Introduction ............................................................................................................................................................... 1 </w:t>
      </w:r>
    </w:p>
    <w:p w:rsidR="000E62A0" w:rsidRDefault="000E62A0" w:rsidP="000E62A0">
      <w:pPr>
        <w:pStyle w:val="Default"/>
        <w:rPr>
          <w:sz w:val="26"/>
          <w:szCs w:val="26"/>
        </w:rPr>
      </w:pPr>
      <w:r>
        <w:rPr>
          <w:sz w:val="21"/>
          <w:szCs w:val="21"/>
        </w:rPr>
        <w:t xml:space="preserve">2 A Brief Background on Sky Glow ................................................................................................................................ 3 </w:t>
      </w:r>
    </w:p>
    <w:p w:rsidR="000E62A0" w:rsidRDefault="000E62A0" w:rsidP="000E62A0">
      <w:pPr>
        <w:pStyle w:val="Default"/>
        <w:rPr>
          <w:sz w:val="26"/>
          <w:szCs w:val="26"/>
        </w:rPr>
      </w:pPr>
      <w:r>
        <w:rPr>
          <w:sz w:val="21"/>
          <w:szCs w:val="21"/>
        </w:rPr>
        <w:t xml:space="preserve">2.1 Astronomical observation ............................................................................................................................ 3 </w:t>
      </w:r>
    </w:p>
    <w:p w:rsidR="000E62A0" w:rsidRDefault="000E62A0" w:rsidP="000E62A0">
      <w:pPr>
        <w:pStyle w:val="Default"/>
        <w:rPr>
          <w:sz w:val="26"/>
          <w:szCs w:val="26"/>
        </w:rPr>
      </w:pPr>
      <w:r>
        <w:rPr>
          <w:sz w:val="21"/>
          <w:szCs w:val="21"/>
        </w:rPr>
        <w:t xml:space="preserve">2.2 Reported units of measurement .................................................................................................................. 3 </w:t>
      </w:r>
    </w:p>
    <w:p w:rsidR="000E62A0" w:rsidRDefault="000E62A0" w:rsidP="000E62A0">
      <w:pPr>
        <w:pStyle w:val="Default"/>
        <w:rPr>
          <w:sz w:val="26"/>
          <w:szCs w:val="26"/>
        </w:rPr>
      </w:pPr>
      <w:r>
        <w:rPr>
          <w:sz w:val="21"/>
          <w:szCs w:val="21"/>
        </w:rPr>
        <w:t xml:space="preserve">2.3 Atmospheric scattering ................................................................................................................................ 4 </w:t>
      </w:r>
    </w:p>
    <w:p w:rsidR="000E62A0" w:rsidRDefault="000E62A0" w:rsidP="000E62A0">
      <w:pPr>
        <w:pStyle w:val="Default"/>
        <w:rPr>
          <w:sz w:val="26"/>
          <w:szCs w:val="26"/>
        </w:rPr>
      </w:pPr>
      <w:r>
        <w:rPr>
          <w:sz w:val="21"/>
          <w:szCs w:val="21"/>
        </w:rPr>
        <w:t xml:space="preserve">3 Luminaire Characteristics Contributing to Sky Glow .................................................................................................. 6 </w:t>
      </w:r>
    </w:p>
    <w:p w:rsidR="000E62A0" w:rsidRDefault="000E62A0" w:rsidP="000E62A0">
      <w:pPr>
        <w:pStyle w:val="Default"/>
        <w:rPr>
          <w:sz w:val="26"/>
          <w:szCs w:val="26"/>
        </w:rPr>
      </w:pPr>
      <w:r>
        <w:rPr>
          <w:sz w:val="21"/>
          <w:szCs w:val="21"/>
        </w:rPr>
        <w:t xml:space="preserve">3.1 Light distribution .......................................................................................................................................... 6 </w:t>
      </w:r>
    </w:p>
    <w:p w:rsidR="000E62A0" w:rsidRDefault="000E62A0" w:rsidP="000E62A0">
      <w:pPr>
        <w:pStyle w:val="Default"/>
        <w:rPr>
          <w:sz w:val="26"/>
          <w:szCs w:val="26"/>
        </w:rPr>
      </w:pPr>
      <w:r>
        <w:rPr>
          <w:sz w:val="21"/>
          <w:szCs w:val="21"/>
        </w:rPr>
        <w:t xml:space="preserve">3.2 Luminaire light output .................................................................................................................................. 7 </w:t>
      </w:r>
    </w:p>
    <w:p w:rsidR="000E62A0" w:rsidRDefault="000E62A0" w:rsidP="000E62A0">
      <w:pPr>
        <w:pStyle w:val="Default"/>
        <w:rPr>
          <w:sz w:val="26"/>
          <w:szCs w:val="26"/>
        </w:rPr>
      </w:pPr>
      <w:r>
        <w:rPr>
          <w:sz w:val="21"/>
          <w:szCs w:val="21"/>
        </w:rPr>
        <w:t xml:space="preserve">3.3 Spectral content ........................................................................................................................................... 7 </w:t>
      </w:r>
    </w:p>
    <w:p w:rsidR="000E62A0" w:rsidRDefault="000E62A0" w:rsidP="000E62A0">
      <w:pPr>
        <w:pStyle w:val="Default"/>
        <w:rPr>
          <w:sz w:val="26"/>
          <w:szCs w:val="26"/>
        </w:rPr>
      </w:pPr>
      <w:r>
        <w:rPr>
          <w:sz w:val="21"/>
          <w:szCs w:val="21"/>
        </w:rPr>
        <w:t xml:space="preserve">4 Selected Sky Glow Model: </w:t>
      </w:r>
      <w:r>
        <w:rPr>
          <w:i/>
          <w:iCs/>
          <w:sz w:val="21"/>
          <w:szCs w:val="21"/>
        </w:rPr>
        <w:t xml:space="preserve">SkyGlow Simulator </w:t>
      </w:r>
      <w:r>
        <w:rPr>
          <w:sz w:val="21"/>
          <w:szCs w:val="21"/>
        </w:rPr>
        <w:t xml:space="preserve">........................................................................................................... 8 </w:t>
      </w:r>
    </w:p>
    <w:p w:rsidR="000E62A0" w:rsidRDefault="000E62A0" w:rsidP="000E62A0">
      <w:pPr>
        <w:pStyle w:val="Default"/>
        <w:rPr>
          <w:sz w:val="26"/>
          <w:szCs w:val="26"/>
        </w:rPr>
      </w:pPr>
      <w:r>
        <w:rPr>
          <w:sz w:val="21"/>
          <w:szCs w:val="21"/>
        </w:rPr>
        <w:t xml:space="preserve">4.1 Theory ........................................................................................................................................................... 8 </w:t>
      </w:r>
    </w:p>
    <w:p w:rsidR="000E62A0" w:rsidRDefault="000E62A0" w:rsidP="000E62A0">
      <w:pPr>
        <w:pStyle w:val="Default"/>
        <w:rPr>
          <w:sz w:val="26"/>
          <w:szCs w:val="26"/>
        </w:rPr>
      </w:pPr>
      <w:r>
        <w:rPr>
          <w:sz w:val="21"/>
          <w:szCs w:val="21"/>
        </w:rPr>
        <w:t xml:space="preserve">4.2 Validation ................................................................................................................................................... 11 </w:t>
      </w:r>
    </w:p>
    <w:p w:rsidR="000E62A0" w:rsidRDefault="000E62A0" w:rsidP="000E62A0">
      <w:pPr>
        <w:pStyle w:val="Default"/>
        <w:rPr>
          <w:sz w:val="26"/>
          <w:szCs w:val="26"/>
        </w:rPr>
      </w:pPr>
      <w:r>
        <w:rPr>
          <w:sz w:val="21"/>
          <w:szCs w:val="21"/>
        </w:rPr>
        <w:t xml:space="preserve">5 Modeled Results ...................................................................................................................................................... 13 </w:t>
      </w:r>
    </w:p>
    <w:p w:rsidR="000E62A0" w:rsidRDefault="000E62A0" w:rsidP="000E62A0">
      <w:pPr>
        <w:pStyle w:val="Default"/>
        <w:rPr>
          <w:sz w:val="26"/>
          <w:szCs w:val="26"/>
        </w:rPr>
      </w:pPr>
      <w:r>
        <w:rPr>
          <w:sz w:val="21"/>
          <w:szCs w:val="21"/>
        </w:rPr>
        <w:t xml:space="preserve">5.1 General concepts ........................................................................................................................................ 13 </w:t>
      </w:r>
    </w:p>
    <w:p w:rsidR="000E62A0" w:rsidRDefault="000E62A0" w:rsidP="000E62A0">
      <w:pPr>
        <w:pStyle w:val="Default"/>
        <w:rPr>
          <w:sz w:val="26"/>
          <w:szCs w:val="26"/>
        </w:rPr>
      </w:pPr>
      <w:r>
        <w:rPr>
          <w:sz w:val="21"/>
          <w:szCs w:val="21"/>
        </w:rPr>
        <w:t xml:space="preserve">5.2 Atmosphere ................................................................................................................................................ 18 </w:t>
      </w:r>
    </w:p>
    <w:p w:rsidR="000E62A0" w:rsidRDefault="000E62A0" w:rsidP="000E62A0">
      <w:pPr>
        <w:pStyle w:val="Default"/>
        <w:rPr>
          <w:sz w:val="26"/>
          <w:szCs w:val="26"/>
        </w:rPr>
      </w:pPr>
      <w:r>
        <w:rPr>
          <w:sz w:val="21"/>
          <w:szCs w:val="21"/>
        </w:rPr>
        <w:t xml:space="preserve">5.3 City characteristics...................................................................................................................................... 20 </w:t>
      </w:r>
    </w:p>
    <w:p w:rsidR="000E62A0" w:rsidRDefault="000E62A0" w:rsidP="000E62A0">
      <w:pPr>
        <w:pStyle w:val="Default"/>
        <w:rPr>
          <w:sz w:val="26"/>
          <w:szCs w:val="26"/>
        </w:rPr>
      </w:pPr>
      <w:r>
        <w:rPr>
          <w:sz w:val="21"/>
          <w:szCs w:val="21"/>
        </w:rPr>
        <w:t xml:space="preserve">5.4 Street lights: light output, percent uplight, SPD ......................................................................................... 20 </w:t>
      </w:r>
    </w:p>
    <w:p w:rsidR="000E62A0" w:rsidRDefault="000E62A0" w:rsidP="000E62A0">
      <w:pPr>
        <w:pStyle w:val="Default"/>
        <w:rPr>
          <w:sz w:val="26"/>
          <w:szCs w:val="26"/>
        </w:rPr>
      </w:pPr>
      <w:r>
        <w:rPr>
          <w:sz w:val="21"/>
          <w:szCs w:val="21"/>
        </w:rPr>
        <w:t xml:space="preserve">5.4.1 Light output ................................................................................................................................. 20 </w:t>
      </w:r>
    </w:p>
    <w:p w:rsidR="000E62A0" w:rsidRDefault="000E62A0" w:rsidP="000E62A0">
      <w:pPr>
        <w:pStyle w:val="Default"/>
        <w:rPr>
          <w:sz w:val="26"/>
          <w:szCs w:val="26"/>
        </w:rPr>
      </w:pPr>
      <w:r>
        <w:rPr>
          <w:sz w:val="21"/>
          <w:szCs w:val="21"/>
        </w:rPr>
        <w:t xml:space="preserve">5.4.2 Percent uplight ............................................................................................................................ 20 </w:t>
      </w:r>
    </w:p>
    <w:p w:rsidR="000E62A0" w:rsidRDefault="000E62A0" w:rsidP="000E62A0">
      <w:pPr>
        <w:pStyle w:val="Default"/>
        <w:rPr>
          <w:sz w:val="26"/>
          <w:szCs w:val="26"/>
        </w:rPr>
      </w:pPr>
      <w:r>
        <w:rPr>
          <w:sz w:val="21"/>
          <w:szCs w:val="21"/>
        </w:rPr>
        <w:t xml:space="preserve">5.4.3 Spectral power distribution ........................................................................................................ 21 </w:t>
      </w:r>
    </w:p>
    <w:p w:rsidR="000E62A0" w:rsidRDefault="000E62A0" w:rsidP="000E62A0">
      <w:pPr>
        <w:pStyle w:val="Default"/>
        <w:rPr>
          <w:sz w:val="26"/>
          <w:szCs w:val="26"/>
        </w:rPr>
      </w:pPr>
      <w:r>
        <w:rPr>
          <w:sz w:val="21"/>
          <w:szCs w:val="21"/>
        </w:rPr>
        <w:t xml:space="preserve">6 Discussion of Individual Contributions ..................................................................................................................... 27 </w:t>
      </w:r>
    </w:p>
    <w:p w:rsidR="000E62A0" w:rsidRDefault="000E62A0" w:rsidP="000E62A0">
      <w:pPr>
        <w:pStyle w:val="Default"/>
        <w:rPr>
          <w:sz w:val="26"/>
          <w:szCs w:val="26"/>
        </w:rPr>
      </w:pPr>
      <w:r>
        <w:rPr>
          <w:sz w:val="21"/>
          <w:szCs w:val="21"/>
        </w:rPr>
        <w:t xml:space="preserve">7 Combined Effects Comparison ................................................................................................................................. 29 </w:t>
      </w:r>
    </w:p>
    <w:p w:rsidR="000E62A0" w:rsidRDefault="000E62A0" w:rsidP="000E62A0">
      <w:pPr>
        <w:pStyle w:val="Default"/>
        <w:rPr>
          <w:sz w:val="26"/>
          <w:szCs w:val="26"/>
        </w:rPr>
      </w:pPr>
      <w:r>
        <w:rPr>
          <w:sz w:val="21"/>
          <w:szCs w:val="21"/>
        </w:rPr>
        <w:t xml:space="preserve">8 Takeaways from the Results .................................................................................................................................... 32 </w:t>
      </w:r>
    </w:p>
    <w:p w:rsidR="000E62A0" w:rsidRDefault="000E62A0" w:rsidP="000E62A0">
      <w:pPr>
        <w:pStyle w:val="Default"/>
        <w:rPr>
          <w:sz w:val="26"/>
          <w:szCs w:val="26"/>
        </w:rPr>
      </w:pPr>
      <w:r>
        <w:rPr>
          <w:sz w:val="21"/>
          <w:szCs w:val="21"/>
        </w:rPr>
        <w:t xml:space="preserve">8.1 Atmospheric conditions.............................................................................................................................. 32 </w:t>
      </w:r>
    </w:p>
    <w:p w:rsidR="000E62A0" w:rsidRDefault="000E62A0" w:rsidP="000E62A0">
      <w:pPr>
        <w:pStyle w:val="Default"/>
        <w:rPr>
          <w:sz w:val="26"/>
          <w:szCs w:val="26"/>
        </w:rPr>
      </w:pPr>
      <w:r>
        <w:rPr>
          <w:sz w:val="21"/>
          <w:szCs w:val="21"/>
        </w:rPr>
        <w:t xml:space="preserve">8.2 City characteristics...................................................................................................................................... 33 </w:t>
      </w:r>
    </w:p>
    <w:p w:rsidR="000E62A0" w:rsidRDefault="000E62A0" w:rsidP="000E62A0">
      <w:pPr>
        <w:pStyle w:val="Default"/>
        <w:rPr>
          <w:sz w:val="26"/>
          <w:szCs w:val="26"/>
        </w:rPr>
      </w:pPr>
      <w:r>
        <w:rPr>
          <w:sz w:val="21"/>
          <w:szCs w:val="21"/>
        </w:rPr>
        <w:t xml:space="preserve">8.3 Light output ................................................................................................................................................ 32 </w:t>
      </w:r>
    </w:p>
    <w:p w:rsidR="000E62A0" w:rsidRDefault="000E62A0" w:rsidP="000E62A0">
      <w:pPr>
        <w:pStyle w:val="Default"/>
        <w:rPr>
          <w:sz w:val="26"/>
          <w:szCs w:val="26"/>
        </w:rPr>
      </w:pPr>
      <w:r>
        <w:rPr>
          <w:sz w:val="21"/>
          <w:szCs w:val="21"/>
        </w:rPr>
        <w:t xml:space="preserve">8.4 Percent uplight ........................................................................................................................................... 32 </w:t>
      </w:r>
    </w:p>
    <w:p w:rsidR="000E62A0" w:rsidRDefault="000E62A0" w:rsidP="000E62A0">
      <w:pPr>
        <w:pStyle w:val="Default"/>
        <w:rPr>
          <w:sz w:val="26"/>
          <w:szCs w:val="26"/>
        </w:rPr>
      </w:pPr>
      <w:r>
        <w:rPr>
          <w:sz w:val="21"/>
          <w:szCs w:val="21"/>
        </w:rPr>
        <w:t xml:space="preserve">8.5 Spectral power distribution ........................................................................................................................ 32 </w:t>
      </w:r>
    </w:p>
    <w:p w:rsidR="000E62A0" w:rsidRDefault="000E62A0" w:rsidP="000E62A0">
      <w:pPr>
        <w:pStyle w:val="Default"/>
        <w:rPr>
          <w:sz w:val="26"/>
          <w:szCs w:val="26"/>
        </w:rPr>
      </w:pPr>
      <w:r>
        <w:rPr>
          <w:sz w:val="21"/>
          <w:szCs w:val="21"/>
        </w:rPr>
        <w:t xml:space="preserve">8.6 Combined Effects........................................................................................................................................ 33 </w:t>
      </w:r>
    </w:p>
    <w:p w:rsidR="000E62A0" w:rsidRDefault="000E62A0" w:rsidP="000E62A0">
      <w:pPr>
        <w:pStyle w:val="Default"/>
        <w:rPr>
          <w:sz w:val="26"/>
          <w:szCs w:val="26"/>
        </w:rPr>
      </w:pPr>
      <w:r>
        <w:rPr>
          <w:sz w:val="21"/>
          <w:szCs w:val="21"/>
        </w:rPr>
        <w:t xml:space="preserve">9 Other Considerations ............................................................................................................................................... 34 </w:t>
      </w:r>
    </w:p>
    <w:p w:rsidR="000E62A0" w:rsidRDefault="000E62A0" w:rsidP="000E62A0">
      <w:pPr>
        <w:pStyle w:val="Default"/>
        <w:rPr>
          <w:sz w:val="26"/>
          <w:szCs w:val="26"/>
        </w:rPr>
      </w:pPr>
      <w:r>
        <w:rPr>
          <w:sz w:val="21"/>
          <w:szCs w:val="21"/>
        </w:rPr>
        <w:t xml:space="preserve">9.1 Energy use .................................................................................................................................................. 34 </w:t>
      </w:r>
    </w:p>
    <w:p w:rsidR="000E62A0" w:rsidRDefault="000E62A0" w:rsidP="000E62A0">
      <w:pPr>
        <w:pStyle w:val="Default"/>
        <w:rPr>
          <w:sz w:val="26"/>
          <w:szCs w:val="26"/>
        </w:rPr>
      </w:pPr>
      <w:r>
        <w:rPr>
          <w:sz w:val="21"/>
          <w:szCs w:val="21"/>
        </w:rPr>
        <w:t xml:space="preserve">9.2 Visual acuity, scene brightness, and possible safety implications ............................................................. 35 </w:t>
      </w:r>
    </w:p>
    <w:p w:rsidR="000E62A0" w:rsidRDefault="000E62A0" w:rsidP="000E62A0">
      <w:pPr>
        <w:pStyle w:val="Default"/>
        <w:rPr>
          <w:sz w:val="26"/>
          <w:szCs w:val="26"/>
        </w:rPr>
      </w:pPr>
      <w:r>
        <w:rPr>
          <w:sz w:val="21"/>
          <w:szCs w:val="21"/>
        </w:rPr>
        <w:t xml:space="preserve">9.3 Sky glow from street lighting in context ..................................................................................................... 35 </w:t>
      </w:r>
    </w:p>
    <w:p w:rsidR="000E62A0" w:rsidRDefault="000E62A0" w:rsidP="000E62A0">
      <w:pPr>
        <w:pStyle w:val="Default"/>
        <w:rPr>
          <w:sz w:val="26"/>
          <w:szCs w:val="26"/>
        </w:rPr>
      </w:pPr>
      <w:r>
        <w:rPr>
          <w:sz w:val="21"/>
          <w:szCs w:val="21"/>
        </w:rPr>
        <w:t xml:space="preserve">10 Conclusions .............................................................................................................................................................. 38 </w:t>
      </w:r>
    </w:p>
    <w:p w:rsidR="000E62A0" w:rsidRDefault="000E62A0" w:rsidP="000E62A0">
      <w:pPr>
        <w:pStyle w:val="Default"/>
        <w:rPr>
          <w:sz w:val="26"/>
          <w:szCs w:val="26"/>
        </w:rPr>
      </w:pPr>
      <w:r>
        <w:rPr>
          <w:sz w:val="21"/>
          <w:szCs w:val="21"/>
        </w:rPr>
        <w:t xml:space="preserve">Appendix A: Sky Glow Models Reviewed ....................................................................................................................... A.1 </w:t>
      </w:r>
    </w:p>
    <w:p w:rsidR="000E62A0" w:rsidRDefault="000E62A0" w:rsidP="000E62A0">
      <w:pPr>
        <w:pStyle w:val="Default"/>
        <w:rPr>
          <w:sz w:val="26"/>
          <w:szCs w:val="26"/>
        </w:rPr>
      </w:pPr>
      <w:r>
        <w:rPr>
          <w:sz w:val="21"/>
          <w:szCs w:val="21"/>
        </w:rPr>
        <w:t xml:space="preserve">The Garstang model ............................................................................................................................................... A.1 </w:t>
      </w:r>
    </w:p>
    <w:p w:rsidR="000E62A0" w:rsidRDefault="000E62A0" w:rsidP="000E62A0">
      <w:pPr>
        <w:pStyle w:val="Default"/>
        <w:rPr>
          <w:sz w:val="26"/>
          <w:szCs w:val="26"/>
        </w:rPr>
      </w:pPr>
      <w:r>
        <w:rPr>
          <w:sz w:val="21"/>
          <w:szCs w:val="21"/>
        </w:rPr>
        <w:t xml:space="preserve">Luginbuhl’s modifications to Garstang’s model ..................................................................................................... A.1 </w:t>
      </w:r>
    </w:p>
    <w:p w:rsidR="000E62A0" w:rsidRDefault="000E62A0" w:rsidP="000E62A0">
      <w:pPr>
        <w:pStyle w:val="Default"/>
        <w:rPr>
          <w:sz w:val="26"/>
          <w:szCs w:val="26"/>
        </w:rPr>
      </w:pPr>
      <w:r>
        <w:rPr>
          <w:sz w:val="21"/>
          <w:szCs w:val="21"/>
        </w:rPr>
        <w:t xml:space="preserve">ILLUMINA ............................................................................................................................................................... A.2 </w:t>
      </w:r>
    </w:p>
    <w:p w:rsidR="000E62A0" w:rsidRDefault="000E62A0" w:rsidP="000E62A0">
      <w:pPr>
        <w:rPr>
          <w:sz w:val="21"/>
          <w:szCs w:val="21"/>
        </w:rPr>
      </w:pPr>
      <w:r>
        <w:rPr>
          <w:sz w:val="21"/>
          <w:szCs w:val="21"/>
        </w:rPr>
        <w:t>Appendix B: Graphs .........................................................................................................................................................B.1</w:t>
      </w:r>
    </w:p>
    <w:p w:rsidR="00544AA3" w:rsidRDefault="00544AA3">
      <w:pPr>
        <w:rPr>
          <w:sz w:val="21"/>
          <w:szCs w:val="21"/>
        </w:rPr>
      </w:pPr>
      <w:r>
        <w:rPr>
          <w:sz w:val="21"/>
          <w:szCs w:val="21"/>
        </w:rPr>
        <w:br w:type="page"/>
      </w:r>
    </w:p>
    <w:p w:rsidR="00544AA3" w:rsidRDefault="00544AA3">
      <w:pPr>
        <w:rPr>
          <w:sz w:val="21"/>
          <w:szCs w:val="21"/>
        </w:rPr>
        <w:sectPr w:rsidR="00544AA3" w:rsidSect="00544AA3">
          <w:footerReference w:type="default" r:id="rId12"/>
          <w:pgSz w:w="11906" w:h="16838"/>
          <w:pgMar w:top="720" w:right="720" w:bottom="720" w:left="720" w:header="708" w:footer="708" w:gutter="0"/>
          <w:pgNumType w:start="1" w:chapStyle="1"/>
          <w:cols w:space="708"/>
          <w:docGrid w:linePitch="360"/>
        </w:sectPr>
      </w:pPr>
    </w:p>
    <w:p w:rsidR="000E62A0" w:rsidRDefault="000E62A0">
      <w:pPr>
        <w:rPr>
          <w:sz w:val="21"/>
          <w:szCs w:val="21"/>
        </w:rPr>
      </w:pPr>
    </w:p>
    <w:p w:rsidR="000E62A0" w:rsidRDefault="000E62A0" w:rsidP="004A02FD">
      <w:pPr>
        <w:pStyle w:val="Titolo1"/>
        <w:numPr>
          <w:ilvl w:val="0"/>
          <w:numId w:val="0"/>
        </w:numPr>
      </w:pPr>
      <w:r>
        <w:t xml:space="preserve">1 </w:t>
      </w:r>
      <w:r w:rsidRPr="004A02FD">
        <w:t>Introduction</w:t>
      </w:r>
      <w:r>
        <w:t xml:space="preserve"> </w:t>
      </w:r>
    </w:p>
    <w:p w:rsidR="00961E6C" w:rsidRDefault="00A42491" w:rsidP="00961E6C">
      <w:pPr>
        <w:pStyle w:val="Default"/>
        <w:rPr>
          <w:rFonts w:ascii="Verdana" w:hAnsi="Verdana"/>
          <w:sz w:val="20"/>
          <w:szCs w:val="20"/>
        </w:rPr>
      </w:pPr>
      <w:r w:rsidRPr="00A42491">
        <w:rPr>
          <w:rFonts w:ascii="Verdana" w:hAnsi="Verdana"/>
          <w:sz w:val="20"/>
          <w:szCs w:val="20"/>
        </w:rPr>
        <w:t xml:space="preserve">L'umanità ha cominciato a illuminare la notte con </w:t>
      </w:r>
      <w:r>
        <w:rPr>
          <w:rFonts w:ascii="Verdana" w:hAnsi="Verdana"/>
          <w:sz w:val="20"/>
          <w:szCs w:val="20"/>
        </w:rPr>
        <w:t xml:space="preserve">il </w:t>
      </w:r>
      <w:r w:rsidRPr="00A42491">
        <w:rPr>
          <w:rFonts w:ascii="Verdana" w:hAnsi="Verdana"/>
          <w:sz w:val="20"/>
          <w:szCs w:val="20"/>
        </w:rPr>
        <w:t>fuoco molto prima dell'alba della civiltà. Questa pratica continua, anche se con diversi combustibili e tecnologie sempre più sofisticate, attraverso i millenni fino alla fine del ventesimo secolo, quando le fonti di illuminazione elettrica sono diventate commercialmente vitali. Da allora, l'illuminazione elettrica ha dominato l'illuminazione notturna sia degli spazi interni che esterni. Questo sviluppo ha fondato una componente strutturale della civiltà che continua a contribuire molto alla nostra vita moderna, ma ha anche alterato molte caratteristiche dell'ambiente notturno e ha portato con sé effetti meno desiderabili.</w:t>
      </w:r>
    </w:p>
    <w:p w:rsidR="00961E6C" w:rsidRDefault="00961E6C" w:rsidP="00961E6C">
      <w:pPr>
        <w:pStyle w:val="Default"/>
        <w:rPr>
          <w:rFonts w:ascii="Verdana" w:hAnsi="Verdana"/>
          <w:sz w:val="20"/>
          <w:szCs w:val="20"/>
        </w:rPr>
      </w:pPr>
    </w:p>
    <w:p w:rsidR="00961E6C" w:rsidRDefault="00A42491" w:rsidP="00961E6C">
      <w:pPr>
        <w:pStyle w:val="Default"/>
        <w:rPr>
          <w:rFonts w:ascii="Verdana" w:hAnsi="Verdana"/>
          <w:sz w:val="20"/>
          <w:szCs w:val="20"/>
        </w:rPr>
      </w:pPr>
      <w:r w:rsidRPr="00A42491">
        <w:rPr>
          <w:rFonts w:ascii="Verdana" w:hAnsi="Verdana"/>
          <w:sz w:val="20"/>
          <w:szCs w:val="20"/>
        </w:rPr>
        <w:t>Uno</w:t>
      </w:r>
      <w:r>
        <w:rPr>
          <w:rFonts w:ascii="Verdana" w:hAnsi="Verdana"/>
          <w:sz w:val="20"/>
          <w:szCs w:val="20"/>
        </w:rPr>
        <w:t xml:space="preserve"> di questi effetti è il chiarore</w:t>
      </w:r>
      <w:r w:rsidRPr="00A42491">
        <w:rPr>
          <w:rFonts w:ascii="Verdana" w:hAnsi="Verdana"/>
          <w:sz w:val="20"/>
          <w:szCs w:val="20"/>
        </w:rPr>
        <w:t xml:space="preserve"> del cielo</w:t>
      </w:r>
      <w:r>
        <w:rPr>
          <w:rFonts w:ascii="Verdana" w:hAnsi="Verdana"/>
          <w:sz w:val="20"/>
          <w:szCs w:val="20"/>
        </w:rPr>
        <w:t xml:space="preserve"> notturno</w:t>
      </w:r>
      <w:r w:rsidRPr="00A42491">
        <w:rPr>
          <w:rFonts w:ascii="Verdana" w:hAnsi="Verdana"/>
          <w:sz w:val="20"/>
          <w:szCs w:val="20"/>
        </w:rPr>
        <w:t>, la luminosit</w:t>
      </w:r>
      <w:r>
        <w:rPr>
          <w:rFonts w:ascii="Verdana" w:hAnsi="Verdana"/>
          <w:sz w:val="20"/>
          <w:szCs w:val="20"/>
        </w:rPr>
        <w:t>à di sfondo visibile (luminosità</w:t>
      </w:r>
      <w:r w:rsidRPr="00A42491">
        <w:rPr>
          <w:rFonts w:ascii="Verdana" w:hAnsi="Verdana"/>
          <w:sz w:val="20"/>
          <w:szCs w:val="20"/>
        </w:rPr>
        <w:t>) nell'atm</w:t>
      </w:r>
      <w:r w:rsidR="0042007C">
        <w:rPr>
          <w:rFonts w:ascii="Verdana" w:hAnsi="Verdana"/>
          <w:sz w:val="20"/>
          <w:szCs w:val="20"/>
        </w:rPr>
        <w:t>osfera sopra le città</w:t>
      </w:r>
      <w:r w:rsidRPr="00A42491">
        <w:rPr>
          <w:rFonts w:ascii="Verdana" w:hAnsi="Verdana"/>
          <w:sz w:val="20"/>
          <w:szCs w:val="20"/>
        </w:rPr>
        <w:t xml:space="preserve"> che </w:t>
      </w:r>
      <w:r w:rsidR="0042007C">
        <w:rPr>
          <w:rFonts w:ascii="Verdana" w:hAnsi="Verdana"/>
          <w:sz w:val="20"/>
          <w:szCs w:val="20"/>
        </w:rPr>
        <w:t>impediscono</w:t>
      </w:r>
      <w:r w:rsidRPr="00A42491">
        <w:rPr>
          <w:rFonts w:ascii="Verdana" w:hAnsi="Verdana"/>
          <w:sz w:val="20"/>
          <w:szCs w:val="20"/>
        </w:rPr>
        <w:t xml:space="preserve"> l</w:t>
      </w:r>
      <w:r w:rsidR="00D16C27">
        <w:rPr>
          <w:rFonts w:ascii="Verdana" w:hAnsi="Verdana"/>
          <w:sz w:val="20"/>
          <w:szCs w:val="20"/>
        </w:rPr>
        <w:t>a vista delle stelle</w:t>
      </w:r>
      <w:r w:rsidRPr="00A42491">
        <w:rPr>
          <w:rFonts w:ascii="Verdana" w:hAnsi="Verdana"/>
          <w:sz w:val="20"/>
          <w:szCs w:val="20"/>
        </w:rPr>
        <w:t>.</w:t>
      </w:r>
      <w:r w:rsidRPr="00D16C27">
        <w:rPr>
          <w:rFonts w:ascii="Verdana" w:hAnsi="Verdana"/>
          <w:sz w:val="20"/>
          <w:szCs w:val="20"/>
          <w:vertAlign w:val="superscript"/>
        </w:rPr>
        <w:t>1</w:t>
      </w:r>
      <w:r w:rsidRPr="00A42491">
        <w:rPr>
          <w:rFonts w:ascii="Verdana" w:hAnsi="Verdana"/>
          <w:sz w:val="20"/>
          <w:szCs w:val="20"/>
        </w:rPr>
        <w:t xml:space="preserve"> Molte fonti di illuminazione contribuiscono al bagliore del cielo, sia dalle aree interne che esterne, fino al </w:t>
      </w:r>
      <w:r w:rsidR="00D16C27">
        <w:rPr>
          <w:rFonts w:ascii="Verdana" w:hAnsi="Verdana"/>
          <w:sz w:val="20"/>
          <w:szCs w:val="20"/>
        </w:rPr>
        <w:t>livello consentito</w:t>
      </w:r>
      <w:r w:rsidR="00D16C27" w:rsidRPr="00A42491">
        <w:rPr>
          <w:rFonts w:ascii="Verdana" w:hAnsi="Verdana"/>
          <w:sz w:val="20"/>
          <w:szCs w:val="20"/>
        </w:rPr>
        <w:t xml:space="preserve"> </w:t>
      </w:r>
      <w:r w:rsidR="00D16C27">
        <w:rPr>
          <w:rFonts w:ascii="Verdana" w:hAnsi="Verdana"/>
          <w:sz w:val="20"/>
          <w:szCs w:val="20"/>
        </w:rPr>
        <w:t>da ogni installazione</w:t>
      </w:r>
      <w:r w:rsidR="00D16C27" w:rsidRPr="00D16C27">
        <w:rPr>
          <w:rFonts w:ascii="Verdana" w:hAnsi="Verdana"/>
          <w:sz w:val="20"/>
          <w:szCs w:val="20"/>
        </w:rPr>
        <w:t xml:space="preserve"> </w:t>
      </w:r>
      <w:r w:rsidR="00D16C27">
        <w:rPr>
          <w:rFonts w:ascii="Verdana" w:hAnsi="Verdana"/>
          <w:sz w:val="20"/>
          <w:szCs w:val="20"/>
        </w:rPr>
        <w:t>singola</w:t>
      </w:r>
      <w:r w:rsidRPr="00A42491">
        <w:rPr>
          <w:rFonts w:ascii="Verdana" w:hAnsi="Verdana"/>
          <w:sz w:val="20"/>
          <w:szCs w:val="20"/>
        </w:rPr>
        <w:t xml:space="preserve">. </w:t>
      </w:r>
      <w:r w:rsidR="00D16C27">
        <w:rPr>
          <w:rFonts w:ascii="Verdana" w:hAnsi="Verdana"/>
          <w:sz w:val="20"/>
          <w:szCs w:val="20"/>
        </w:rPr>
        <w:t>Una quantità di chiarore</w:t>
      </w:r>
      <w:r w:rsidRPr="00A42491">
        <w:rPr>
          <w:rFonts w:ascii="Verdana" w:hAnsi="Verdana"/>
          <w:sz w:val="20"/>
          <w:szCs w:val="20"/>
        </w:rPr>
        <w:t xml:space="preserve"> </w:t>
      </w:r>
      <w:r w:rsidR="00D16C27">
        <w:rPr>
          <w:rFonts w:ascii="Verdana" w:hAnsi="Verdana"/>
          <w:sz w:val="20"/>
          <w:szCs w:val="20"/>
        </w:rPr>
        <w:t>nel</w:t>
      </w:r>
      <w:r w:rsidRPr="00A42491">
        <w:rPr>
          <w:rFonts w:ascii="Verdana" w:hAnsi="Verdana"/>
          <w:sz w:val="20"/>
          <w:szCs w:val="20"/>
        </w:rPr>
        <w:t xml:space="preserve"> cielo è inevitabile se i nostri ambienti nott</w:t>
      </w:r>
      <w:r w:rsidR="00D16C27">
        <w:rPr>
          <w:rFonts w:ascii="Verdana" w:hAnsi="Verdana"/>
          <w:sz w:val="20"/>
          <w:szCs w:val="20"/>
        </w:rPr>
        <w:t>urni dovranno essere illuminati.</w:t>
      </w:r>
      <w:r w:rsidRPr="00A42491">
        <w:rPr>
          <w:rFonts w:ascii="Verdana" w:hAnsi="Verdana"/>
          <w:sz w:val="20"/>
          <w:szCs w:val="20"/>
        </w:rPr>
        <w:t xml:space="preserve"> </w:t>
      </w:r>
      <w:r w:rsidRPr="00D16C27">
        <w:rPr>
          <w:rFonts w:ascii="Verdana" w:hAnsi="Verdana"/>
          <w:color w:val="FF0000"/>
          <w:sz w:val="20"/>
          <w:szCs w:val="20"/>
        </w:rPr>
        <w:t>Tuttavia</w:t>
      </w:r>
      <w:r w:rsidRPr="00A42491">
        <w:rPr>
          <w:rFonts w:ascii="Verdana" w:hAnsi="Verdana"/>
          <w:sz w:val="20"/>
          <w:szCs w:val="20"/>
        </w:rPr>
        <w:t>, i livelli di molte aree urbane moderne (che generalmente si estendono anche nelle aree non urbane vicine) non sono un requisito inerente all'illuminazione notturna, ma spesso a causa di un'attenzione insufficiente al buon design e al controllo della luce necessaria per una Applicazione specifica. I motivi sottostanti non riflettono necessariamente la mancanza di attenzione, ma possono derivare invece dalle decisioni prese per controllare i costi.</w:t>
      </w:r>
    </w:p>
    <w:p w:rsidR="00961E6C" w:rsidRDefault="00961E6C" w:rsidP="00961E6C">
      <w:pPr>
        <w:pStyle w:val="Default"/>
        <w:rPr>
          <w:rFonts w:ascii="Verdana" w:hAnsi="Verdana"/>
          <w:sz w:val="20"/>
          <w:szCs w:val="20"/>
        </w:rPr>
      </w:pPr>
    </w:p>
    <w:p w:rsidR="00961E6C" w:rsidRDefault="00A42491" w:rsidP="00961E6C">
      <w:pPr>
        <w:pStyle w:val="Default"/>
        <w:rPr>
          <w:rFonts w:ascii="Verdana" w:hAnsi="Verdana"/>
          <w:sz w:val="20"/>
          <w:szCs w:val="20"/>
        </w:rPr>
      </w:pPr>
      <w:r w:rsidRPr="00A42491">
        <w:rPr>
          <w:rFonts w:ascii="Verdana" w:hAnsi="Verdana"/>
          <w:sz w:val="20"/>
          <w:szCs w:val="20"/>
        </w:rPr>
        <w:t>1 Questo studio calcola gli impatti di incandescenza in termini di irradianza diffusa (W / m2) o di illuminazione (scotopic-cd / m2 / sr o scotopic-lux) sul piano orizzontale risultante da qualsiasi luminosità incrementale del cielo, Da tutti gli angoli e le direzioni. La radianza è direzionale e può variare a seconda della direzione dell'osservatore.</w:t>
      </w:r>
    </w:p>
    <w:p w:rsidR="00961E6C" w:rsidRDefault="00961E6C" w:rsidP="00961E6C">
      <w:pPr>
        <w:pStyle w:val="Default"/>
        <w:rPr>
          <w:rFonts w:ascii="Verdana" w:hAnsi="Verdana"/>
          <w:sz w:val="20"/>
          <w:szCs w:val="20"/>
        </w:rPr>
      </w:pPr>
    </w:p>
    <w:p w:rsidR="00961E6C" w:rsidRDefault="00A42491" w:rsidP="00961E6C">
      <w:pPr>
        <w:pStyle w:val="Default"/>
        <w:rPr>
          <w:rFonts w:ascii="Verdana" w:hAnsi="Verdana"/>
          <w:sz w:val="20"/>
          <w:szCs w:val="20"/>
        </w:rPr>
      </w:pPr>
      <w:r w:rsidRPr="00A42491">
        <w:rPr>
          <w:rFonts w:ascii="Verdana" w:hAnsi="Verdana"/>
          <w:sz w:val="20"/>
          <w:szCs w:val="20"/>
        </w:rPr>
        <w:t xml:space="preserve">I primi decenni di illuminazione elettrica della notte hanno visto principalmente l'uso di sorgenti luminose ad ampio spettro, o "bianco", sia nelle applicazioni sia interne che esterne. A partire dagli anni '70, sul mercato sono comparsi prodotti più spettrali a bassa pressione (HPS) e sodio a bassa pressione (LPS) e hanno iniziato a richiedere quote di mercato a causa della loro maggiore efficienza e della manutenzione migliorata rispetto al precedente </w:t>
      </w:r>
      <w:r w:rsidR="00961E6C">
        <w:rPr>
          <w:rFonts w:ascii="Verdana" w:hAnsi="Verdana"/>
          <w:sz w:val="20"/>
          <w:szCs w:val="20"/>
        </w:rPr>
        <w:t>a v</w:t>
      </w:r>
      <w:r w:rsidR="00961E6C" w:rsidRPr="00A42491">
        <w:rPr>
          <w:rFonts w:ascii="Verdana" w:hAnsi="Verdana"/>
          <w:sz w:val="20"/>
          <w:szCs w:val="20"/>
        </w:rPr>
        <w:t>apori</w:t>
      </w:r>
      <w:r w:rsidR="00961E6C">
        <w:rPr>
          <w:rFonts w:ascii="Verdana" w:hAnsi="Verdana"/>
          <w:sz w:val="20"/>
          <w:szCs w:val="20"/>
        </w:rPr>
        <w:t xml:space="preserve"> di</w:t>
      </w:r>
      <w:r w:rsidR="00961E6C" w:rsidRPr="00A42491">
        <w:rPr>
          <w:rFonts w:ascii="Verdana" w:hAnsi="Verdana"/>
          <w:sz w:val="20"/>
          <w:szCs w:val="20"/>
        </w:rPr>
        <w:t xml:space="preserve"> </w:t>
      </w:r>
      <w:r w:rsidRPr="00A42491">
        <w:rPr>
          <w:rFonts w:ascii="Verdana" w:hAnsi="Verdana"/>
          <w:sz w:val="20"/>
          <w:szCs w:val="20"/>
        </w:rPr>
        <w:t xml:space="preserve">mercurio e sorgenti a incandescenza in uso comune all'epoca. Negli anni novanta, le lampade ad alogenuri metallici, che presentavano una migliore luce a colori di colore, sono state utilizzate in alcune aree pedonali importanti, anche se la sua applicazione è stata limitata dalla vita più breve della lampada e dall'efficacia inferiore rispetto all'HPS. La metà degli anni 2000 vedeva l'inizio di un più ampio interesse per fonti più ampie di spettro con l'avvento di una tecnologia di illuminazione a stato solido (SSL) o diodi a LED (LED). I LED sono favoriti dalle tecnologie </w:t>
      </w:r>
      <w:r w:rsidR="00961E6C">
        <w:rPr>
          <w:rFonts w:ascii="Verdana" w:hAnsi="Verdana"/>
          <w:sz w:val="20"/>
          <w:szCs w:val="20"/>
        </w:rPr>
        <w:t xml:space="preserve">attuali </w:t>
      </w:r>
      <w:r w:rsidRPr="00A42491">
        <w:rPr>
          <w:rFonts w:ascii="Verdana" w:hAnsi="Verdana"/>
          <w:sz w:val="20"/>
          <w:szCs w:val="20"/>
        </w:rPr>
        <w:t>non solo per il loro ridotto consumo energetico e pe</w:t>
      </w:r>
      <w:r w:rsidR="00961E6C">
        <w:rPr>
          <w:rFonts w:ascii="Verdana" w:hAnsi="Verdana"/>
          <w:sz w:val="20"/>
          <w:szCs w:val="20"/>
        </w:rPr>
        <w:t>r la migliore manutenzione</w:t>
      </w:r>
      <w:r w:rsidRPr="00A42491">
        <w:rPr>
          <w:rFonts w:ascii="Verdana" w:hAnsi="Verdana"/>
          <w:sz w:val="20"/>
          <w:szCs w:val="20"/>
        </w:rPr>
        <w:t>, ma</w:t>
      </w:r>
      <w:r w:rsidR="00961E6C" w:rsidRPr="00A42491">
        <w:rPr>
          <w:rFonts w:ascii="Verdana" w:hAnsi="Verdana"/>
          <w:sz w:val="20"/>
          <w:szCs w:val="20"/>
        </w:rPr>
        <w:t>, tra gli altri vantaggi</w:t>
      </w:r>
      <w:r w:rsidR="00961E6C">
        <w:rPr>
          <w:rFonts w:ascii="Verdana" w:hAnsi="Verdana"/>
          <w:sz w:val="20"/>
          <w:szCs w:val="20"/>
        </w:rPr>
        <w:t>,</w:t>
      </w:r>
      <w:r w:rsidRPr="00A42491">
        <w:rPr>
          <w:rFonts w:ascii="Verdana" w:hAnsi="Verdana"/>
          <w:sz w:val="20"/>
          <w:szCs w:val="20"/>
        </w:rPr>
        <w:t xml:space="preserve"> anche per le loro migliori proprietà di resa dei colori e l'alta precisione del controllo ottico. È anche utile notare che anche quando i LED sono diventati commerciali, molti sistemi di illuminazione stradale e stradale hanno continuato a impiegare luci a vapore di mercurio e persino alcune sorgenti incandescenti nelle installazioni più vecchie. Pertanto, alcuni siti hanno utilizzato essenzialmente la stessa tecnologia per più di 100 anni.</w:t>
      </w:r>
    </w:p>
    <w:p w:rsidR="00EC5527" w:rsidRDefault="00EC5527" w:rsidP="00961E6C">
      <w:pPr>
        <w:pStyle w:val="Default"/>
        <w:rPr>
          <w:rFonts w:ascii="Verdana" w:hAnsi="Verdana"/>
          <w:sz w:val="20"/>
          <w:szCs w:val="20"/>
        </w:rPr>
      </w:pPr>
    </w:p>
    <w:p w:rsidR="00A42491" w:rsidRDefault="00A42491" w:rsidP="00961E6C">
      <w:pPr>
        <w:pStyle w:val="Default"/>
        <w:pBdr>
          <w:bottom w:val="single" w:sz="6" w:space="1" w:color="auto"/>
        </w:pBdr>
        <w:rPr>
          <w:rFonts w:ascii="Verdana" w:hAnsi="Verdana"/>
          <w:sz w:val="20"/>
          <w:szCs w:val="20"/>
        </w:rPr>
      </w:pPr>
      <w:r w:rsidRPr="00A42491">
        <w:rPr>
          <w:rFonts w:ascii="Verdana" w:hAnsi="Verdana"/>
          <w:sz w:val="20"/>
          <w:szCs w:val="20"/>
        </w:rPr>
        <w:t>Le sorgenti luminose ad ampio spettro emettono più energia radiante nelle lunghezze d'onda più brevi dello spettro visibile, che possono includere componenti variabili di viola, azzurro, ciano e altri colori, rispetto a fonti di spettro più strette che emettono molto più della loro uscita in lunghezze d'onda più lunghe Come il rosso e il giallo. Poiché le lunghezz</w:t>
      </w:r>
      <w:r w:rsidR="00961E6C">
        <w:rPr>
          <w:rFonts w:ascii="Verdana" w:hAnsi="Verdana"/>
          <w:sz w:val="20"/>
          <w:szCs w:val="20"/>
        </w:rPr>
        <w:t>e d'onda più brevi si disperdono</w:t>
      </w:r>
      <w:r w:rsidRPr="00A42491">
        <w:rPr>
          <w:rFonts w:ascii="Verdana" w:hAnsi="Verdana"/>
          <w:sz w:val="20"/>
          <w:szCs w:val="20"/>
        </w:rPr>
        <w:t xml:space="preserve"> più facilmente nell'atmosfera terrestre rispetto a</w:t>
      </w:r>
      <w:r w:rsidR="00961E6C">
        <w:rPr>
          <w:rFonts w:ascii="Verdana" w:hAnsi="Verdana"/>
          <w:sz w:val="20"/>
          <w:szCs w:val="20"/>
        </w:rPr>
        <w:t>lle</w:t>
      </w:r>
      <w:r w:rsidRPr="00A42491">
        <w:rPr>
          <w:rFonts w:ascii="Verdana" w:hAnsi="Verdana"/>
          <w:sz w:val="20"/>
          <w:szCs w:val="20"/>
        </w:rPr>
        <w:t xml:space="preserve"> lunghezze d'onda più lunghe, insieme a determinate sensitività biologiche a lunghezze d'onda più brevi, sono state sollevate preoccupazioni per quanto riguarda l'impatto potenziale derivante dalla conversione di sorgenti di illuminazione esterna a basso contenuto di lunghezze d'onda cor</w:t>
      </w:r>
      <w:r w:rsidR="003E483E">
        <w:rPr>
          <w:rFonts w:ascii="Verdana" w:hAnsi="Verdana"/>
          <w:sz w:val="20"/>
          <w:szCs w:val="20"/>
        </w:rPr>
        <w:t>te (principalmente HPS)</w:t>
      </w:r>
    </w:p>
    <w:p w:rsidR="00EC5527" w:rsidRDefault="00EC5527" w:rsidP="00961E6C">
      <w:pPr>
        <w:pStyle w:val="Default"/>
        <w:pBdr>
          <w:bottom w:val="single" w:sz="6" w:space="1" w:color="auto"/>
        </w:pBdr>
        <w:rPr>
          <w:rFonts w:ascii="Verdana" w:hAnsi="Verdana"/>
          <w:sz w:val="20"/>
          <w:szCs w:val="20"/>
        </w:rPr>
      </w:pPr>
    </w:p>
    <w:p w:rsidR="00835204" w:rsidRDefault="00835204" w:rsidP="00961E6C">
      <w:pPr>
        <w:pStyle w:val="Default"/>
        <w:pBdr>
          <w:bottom w:val="single" w:sz="6" w:space="1" w:color="auto"/>
        </w:pBdr>
        <w:rPr>
          <w:rFonts w:ascii="Verdana" w:hAnsi="Verdana"/>
          <w:sz w:val="20"/>
          <w:szCs w:val="20"/>
        </w:rPr>
      </w:pPr>
    </w:p>
    <w:p w:rsidR="00835204" w:rsidRDefault="00835204" w:rsidP="00961E6C">
      <w:pPr>
        <w:pStyle w:val="Default"/>
        <w:pBdr>
          <w:bottom w:val="single" w:sz="6" w:space="1" w:color="auto"/>
        </w:pBdr>
        <w:rPr>
          <w:rFonts w:ascii="Verdana" w:hAnsi="Verdana"/>
          <w:sz w:val="20"/>
          <w:szCs w:val="20"/>
        </w:rPr>
      </w:pPr>
    </w:p>
    <w:p w:rsidR="00EC5527" w:rsidRPr="00835204" w:rsidRDefault="00EC5527" w:rsidP="00EC5527">
      <w:pPr>
        <w:pStyle w:val="Default"/>
        <w:rPr>
          <w:rFonts w:ascii="Verdana" w:hAnsi="Verdana"/>
          <w:i/>
          <w:sz w:val="18"/>
          <w:szCs w:val="18"/>
        </w:rPr>
      </w:pPr>
      <w:r w:rsidRPr="00EC5527">
        <w:rPr>
          <w:rFonts w:ascii="Verdana" w:hAnsi="Verdana"/>
          <w:sz w:val="18"/>
          <w:szCs w:val="18"/>
          <w:vertAlign w:val="superscript"/>
        </w:rPr>
        <w:t>1</w:t>
      </w:r>
      <w:r w:rsidRPr="00EC5527">
        <w:rPr>
          <w:rFonts w:ascii="Verdana" w:hAnsi="Verdana"/>
          <w:sz w:val="18"/>
          <w:szCs w:val="18"/>
        </w:rPr>
        <w:t xml:space="preserve"> </w:t>
      </w:r>
      <w:r w:rsidRPr="00835204">
        <w:rPr>
          <w:rFonts w:ascii="Verdana" w:hAnsi="Verdana"/>
          <w:i/>
          <w:sz w:val="18"/>
          <w:szCs w:val="18"/>
        </w:rPr>
        <w:t>Questo studio calcola l’impatto del bagliore del cielo come irradiazione diffusa o illuminazione (</w:t>
      </w:r>
      <w:r w:rsidR="003E483E" w:rsidRPr="00835204">
        <w:rPr>
          <w:rFonts w:ascii="Verdana" w:hAnsi="Verdana"/>
          <w:i/>
          <w:sz w:val="18"/>
          <w:szCs w:val="18"/>
        </w:rPr>
        <w:t xml:space="preserve">cd/m2/sr </w:t>
      </w:r>
      <w:r w:rsidRPr="00835204">
        <w:rPr>
          <w:rFonts w:ascii="Verdana" w:hAnsi="Verdana"/>
          <w:i/>
          <w:sz w:val="18"/>
          <w:szCs w:val="18"/>
        </w:rPr>
        <w:t>scotopica-o-lux</w:t>
      </w:r>
      <w:r w:rsidR="003E483E" w:rsidRPr="00835204">
        <w:rPr>
          <w:rFonts w:ascii="Verdana" w:hAnsi="Verdana"/>
          <w:i/>
          <w:sz w:val="18"/>
          <w:szCs w:val="18"/>
        </w:rPr>
        <w:t xml:space="preserve"> scotopica</w:t>
      </w:r>
      <w:r w:rsidRPr="00835204">
        <w:rPr>
          <w:rFonts w:ascii="Verdana" w:hAnsi="Verdana"/>
          <w:i/>
          <w:sz w:val="18"/>
          <w:szCs w:val="18"/>
        </w:rPr>
        <w:t>)</w:t>
      </w:r>
      <w:r w:rsidR="003E483E" w:rsidRPr="00835204">
        <w:rPr>
          <w:rFonts w:ascii="Verdana" w:hAnsi="Verdana"/>
          <w:i/>
          <w:sz w:val="18"/>
          <w:szCs w:val="18"/>
        </w:rPr>
        <w:t xml:space="preserve"> su un pano orizzontale </w:t>
      </w:r>
      <w:r w:rsidR="003E483E" w:rsidRPr="00835204">
        <w:rPr>
          <w:rFonts w:ascii="Verdana" w:hAnsi="Verdana"/>
          <w:i/>
          <w:sz w:val="20"/>
          <w:szCs w:val="20"/>
        </w:rPr>
        <w:t>risultante da una qualsiasi lumiosità incrementale del cielo rispetto allo sfondo naturale, raccolto da tutti gli angoli e direzioni. La Radianza</w:t>
      </w:r>
      <w:r w:rsidR="00835204" w:rsidRPr="00835204">
        <w:rPr>
          <w:rFonts w:ascii="Verdana" w:hAnsi="Verdana"/>
          <w:i/>
          <w:sz w:val="20"/>
          <w:szCs w:val="20"/>
        </w:rPr>
        <w:t>,</w:t>
      </w:r>
      <w:r w:rsidR="003E483E" w:rsidRPr="00835204">
        <w:rPr>
          <w:rFonts w:ascii="Verdana" w:hAnsi="Verdana"/>
          <w:i/>
          <w:sz w:val="20"/>
          <w:szCs w:val="20"/>
        </w:rPr>
        <w:t xml:space="preserve"> </w:t>
      </w:r>
      <w:r w:rsidR="00835204" w:rsidRPr="00835204">
        <w:rPr>
          <w:rFonts w:ascii="Verdana" w:hAnsi="Verdana"/>
          <w:i/>
          <w:sz w:val="20"/>
          <w:szCs w:val="20"/>
        </w:rPr>
        <w:t xml:space="preserve">invece, </w:t>
      </w:r>
      <w:r w:rsidR="003E483E" w:rsidRPr="00835204">
        <w:rPr>
          <w:rFonts w:ascii="Verdana" w:hAnsi="Verdana"/>
          <w:i/>
          <w:sz w:val="20"/>
          <w:szCs w:val="20"/>
        </w:rPr>
        <w:t>è direzionale e può quindi variare con l’angolo visuale dell’osservatore.</w:t>
      </w:r>
    </w:p>
    <w:p w:rsidR="00EC5527" w:rsidRDefault="00EC5527" w:rsidP="00EC5527">
      <w:pPr>
        <w:pStyle w:val="Default"/>
        <w:rPr>
          <w:rFonts w:ascii="Verdana" w:hAnsi="Verdana"/>
          <w:sz w:val="20"/>
          <w:szCs w:val="20"/>
        </w:rPr>
      </w:pPr>
    </w:p>
    <w:p w:rsidR="00A42491" w:rsidRDefault="00A42491">
      <w:pPr>
        <w:rPr>
          <w:rFonts w:ascii="Verdana" w:hAnsi="Verdana" w:cs="NCFLW L+ Gotham Narrow"/>
          <w:color w:val="000000"/>
          <w:sz w:val="20"/>
          <w:szCs w:val="20"/>
        </w:rPr>
      </w:pPr>
      <w:r>
        <w:rPr>
          <w:rFonts w:ascii="Verdana" w:hAnsi="Verdana"/>
          <w:sz w:val="20"/>
          <w:szCs w:val="20"/>
        </w:rPr>
        <w:br w:type="page"/>
      </w:r>
    </w:p>
    <w:p w:rsidR="00013144" w:rsidRDefault="00013144" w:rsidP="000E62A0">
      <w:pPr>
        <w:pStyle w:val="Default"/>
        <w:rPr>
          <w:rFonts w:ascii="Calibri" w:hAnsi="Calibri" w:cs="Calibri"/>
          <w:sz w:val="22"/>
          <w:szCs w:val="22"/>
        </w:rPr>
      </w:pPr>
      <w:r>
        <w:rPr>
          <w:rFonts w:ascii="Calibri" w:hAnsi="Calibri" w:cs="Calibri"/>
          <w:sz w:val="22"/>
          <w:szCs w:val="22"/>
        </w:rPr>
        <w:lastRenderedPageBreak/>
        <w:t>Le luci cittadine sono al centro di queste analisi, che includono la possibie perdita di visibilità dovuta al chiarore del Cielo e l’impatto sula salute dovuto alla esposizione di alti livelli di luce.</w:t>
      </w:r>
    </w:p>
    <w:p w:rsidR="00013144" w:rsidRDefault="00013144" w:rsidP="000E62A0">
      <w:pPr>
        <w:pStyle w:val="Default"/>
        <w:rPr>
          <w:rFonts w:ascii="Calibri" w:hAnsi="Calibri" w:cs="Calibri"/>
          <w:sz w:val="22"/>
          <w:szCs w:val="22"/>
        </w:rPr>
      </w:pPr>
    </w:p>
    <w:p w:rsidR="00013144" w:rsidRDefault="00013144" w:rsidP="000E62A0">
      <w:pPr>
        <w:pStyle w:val="Default"/>
        <w:rPr>
          <w:rFonts w:ascii="Calibri" w:hAnsi="Calibri" w:cs="Calibri"/>
          <w:sz w:val="22"/>
          <w:szCs w:val="22"/>
        </w:rPr>
      </w:pPr>
      <w:r w:rsidRPr="00013144">
        <w:rPr>
          <w:rFonts w:ascii="Calibri" w:hAnsi="Calibri" w:cs="Calibri"/>
          <w:sz w:val="22"/>
          <w:szCs w:val="22"/>
        </w:rPr>
        <w:t xml:space="preserve">Mentre </w:t>
      </w:r>
      <w:r>
        <w:rPr>
          <w:rFonts w:ascii="Calibri" w:hAnsi="Calibri" w:cs="Calibri"/>
          <w:sz w:val="22"/>
          <w:szCs w:val="22"/>
        </w:rPr>
        <w:t>evolve la scienza sulle luci</w:t>
      </w:r>
      <w:r w:rsidRPr="00013144">
        <w:rPr>
          <w:rFonts w:ascii="Calibri" w:hAnsi="Calibri" w:cs="Calibri"/>
          <w:sz w:val="22"/>
          <w:szCs w:val="22"/>
        </w:rPr>
        <w:t xml:space="preserve"> </w:t>
      </w:r>
      <w:r>
        <w:rPr>
          <w:rFonts w:ascii="Calibri" w:hAnsi="Calibri" w:cs="Calibri"/>
          <w:sz w:val="22"/>
          <w:szCs w:val="22"/>
        </w:rPr>
        <w:t>a lunghezza d'onda corte</w:t>
      </w:r>
      <w:r w:rsidRPr="00013144">
        <w:rPr>
          <w:rFonts w:ascii="Calibri" w:hAnsi="Calibri" w:cs="Calibri"/>
          <w:sz w:val="22"/>
          <w:szCs w:val="22"/>
        </w:rPr>
        <w:t xml:space="preserve"> e</w:t>
      </w:r>
      <w:r>
        <w:rPr>
          <w:rFonts w:ascii="Calibri" w:hAnsi="Calibri" w:cs="Calibri"/>
          <w:sz w:val="22"/>
          <w:szCs w:val="22"/>
        </w:rPr>
        <w:t xml:space="preserve">d </w:t>
      </w:r>
      <w:r w:rsidRPr="00013144">
        <w:rPr>
          <w:rFonts w:ascii="Calibri" w:hAnsi="Calibri" w:cs="Calibri"/>
          <w:sz w:val="22"/>
          <w:szCs w:val="22"/>
        </w:rPr>
        <w:t xml:space="preserve">i suoi impatti, rimane una notevole incertezza sul modo in cui la transizione in corso verso gli </w:t>
      </w:r>
      <w:r w:rsidR="00D56039">
        <w:rPr>
          <w:rFonts w:ascii="Calibri" w:hAnsi="Calibri" w:cs="Calibri"/>
          <w:sz w:val="22"/>
          <w:szCs w:val="22"/>
        </w:rPr>
        <w:t>impianti</w:t>
      </w:r>
      <w:r w:rsidRPr="00013144">
        <w:rPr>
          <w:rFonts w:ascii="Calibri" w:hAnsi="Calibri" w:cs="Calibri"/>
          <w:sz w:val="22"/>
          <w:szCs w:val="22"/>
        </w:rPr>
        <w:t xml:space="preserve"> a LED contribuirà a queste situazioni. Molti impatti attuali sono stati proiettati in letteratura, ma si avvalgono di un approccio molto semplificato, spesso sostituendo direttamente una distribuzione SPD presunta di una sorgente a LED di quella di una sorgente HPS, mantenend</w:t>
      </w:r>
      <w:r w:rsidR="00006F6C">
        <w:rPr>
          <w:rFonts w:ascii="Calibri" w:hAnsi="Calibri" w:cs="Calibri"/>
          <w:sz w:val="22"/>
          <w:szCs w:val="22"/>
        </w:rPr>
        <w:t>o tutti gli altri fattori (es. emissione luminosa e distribuzione) costanti</w:t>
      </w:r>
      <w:r w:rsidRPr="00013144">
        <w:rPr>
          <w:rFonts w:ascii="Calibri" w:hAnsi="Calibri" w:cs="Calibri"/>
          <w:sz w:val="22"/>
          <w:szCs w:val="22"/>
        </w:rPr>
        <w:t>. Tale semplificazione è direttamente in conflitto con l'effettiva esperienza sul campo negli Stati Uniti, che rivela che tali fattori cambiano normalmente in modo significativo durante una conversione di illuminazione.</w:t>
      </w:r>
    </w:p>
    <w:p w:rsidR="00013144" w:rsidRDefault="00013144" w:rsidP="000E62A0">
      <w:pPr>
        <w:pStyle w:val="Default"/>
        <w:rPr>
          <w:rFonts w:ascii="Calibri" w:hAnsi="Calibri" w:cs="Calibri"/>
          <w:sz w:val="22"/>
          <w:szCs w:val="22"/>
        </w:rPr>
      </w:pPr>
    </w:p>
    <w:p w:rsidR="00006F6C" w:rsidRDefault="00006F6C" w:rsidP="000E62A0">
      <w:pPr>
        <w:pStyle w:val="Default"/>
        <w:rPr>
          <w:rFonts w:ascii="Calibri" w:hAnsi="Calibri" w:cs="Calibri"/>
          <w:sz w:val="22"/>
          <w:szCs w:val="22"/>
        </w:rPr>
      </w:pPr>
      <w:r w:rsidRPr="00006F6C">
        <w:rPr>
          <w:rFonts w:ascii="Calibri" w:hAnsi="Calibri" w:cs="Calibri"/>
          <w:sz w:val="22"/>
          <w:szCs w:val="22"/>
        </w:rPr>
        <w:t>Il programma di illuminazione a stato solido del Dipartimento per l'energia degli Stati Uniti ha quindi intrapreso una revisione dei modelli di illuminazione del cielo negli ultimi 18 mesi e ha consultato diversi specialisti nella diffusione</w:t>
      </w:r>
      <w:r>
        <w:rPr>
          <w:rFonts w:ascii="Calibri" w:hAnsi="Calibri" w:cs="Calibri"/>
          <w:sz w:val="22"/>
          <w:szCs w:val="22"/>
        </w:rPr>
        <w:t xml:space="preserve"> atmosferica</w:t>
      </w:r>
      <w:r w:rsidRPr="00006F6C">
        <w:rPr>
          <w:rFonts w:ascii="Calibri" w:hAnsi="Calibri" w:cs="Calibri"/>
          <w:sz w:val="22"/>
          <w:szCs w:val="22"/>
        </w:rPr>
        <w:t xml:space="preserve"> e nella visibilità del cielo per identificare i fattori più critici che influenzano il </w:t>
      </w:r>
      <w:r>
        <w:rPr>
          <w:rFonts w:ascii="Calibri" w:hAnsi="Calibri" w:cs="Calibri"/>
          <w:sz w:val="22"/>
          <w:szCs w:val="22"/>
        </w:rPr>
        <w:t>chiarore</w:t>
      </w:r>
      <w:r w:rsidRPr="00006F6C">
        <w:rPr>
          <w:rFonts w:ascii="Calibri" w:hAnsi="Calibri" w:cs="Calibri"/>
          <w:sz w:val="22"/>
          <w:szCs w:val="22"/>
        </w:rPr>
        <w:t xml:space="preserve"> del cielo. I modelli atmosferici sono complessi e spesso richiedono computer avanzati per stimare adeguatamente gli </w:t>
      </w:r>
      <w:r>
        <w:rPr>
          <w:rFonts w:ascii="Calibri" w:hAnsi="Calibri" w:cs="Calibri"/>
          <w:sz w:val="22"/>
          <w:szCs w:val="22"/>
        </w:rPr>
        <w:t>effetti di diversi fattori sul chiarore del cielo, in particolare con l’aumento</w:t>
      </w:r>
      <w:r w:rsidRPr="00006F6C">
        <w:rPr>
          <w:rFonts w:ascii="Calibri" w:hAnsi="Calibri" w:cs="Calibri"/>
          <w:sz w:val="22"/>
          <w:szCs w:val="22"/>
        </w:rPr>
        <w:t xml:space="preserve"> </w:t>
      </w:r>
      <w:r>
        <w:rPr>
          <w:rFonts w:ascii="Calibri" w:hAnsi="Calibri" w:cs="Calibri"/>
          <w:sz w:val="22"/>
          <w:szCs w:val="22"/>
        </w:rPr>
        <w:t>del</w:t>
      </w:r>
      <w:r w:rsidRPr="00006F6C">
        <w:rPr>
          <w:rFonts w:ascii="Calibri" w:hAnsi="Calibri" w:cs="Calibri"/>
          <w:sz w:val="22"/>
          <w:szCs w:val="22"/>
        </w:rPr>
        <w:t xml:space="preserve"> numero di fattori considerati. In questo studio, i fattori considerati come contributori alla presenza del </w:t>
      </w:r>
      <w:r>
        <w:rPr>
          <w:rFonts w:ascii="Calibri" w:hAnsi="Calibri" w:cs="Calibri"/>
          <w:sz w:val="22"/>
          <w:szCs w:val="22"/>
        </w:rPr>
        <w:t>chiarore</w:t>
      </w:r>
      <w:r w:rsidRPr="00006F6C">
        <w:rPr>
          <w:rFonts w:ascii="Calibri" w:hAnsi="Calibri" w:cs="Calibri"/>
          <w:sz w:val="22"/>
          <w:szCs w:val="22"/>
        </w:rPr>
        <w:t xml:space="preserve"> </w:t>
      </w:r>
      <w:r>
        <w:rPr>
          <w:rFonts w:ascii="Calibri" w:hAnsi="Calibri" w:cs="Calibri"/>
          <w:sz w:val="22"/>
          <w:szCs w:val="22"/>
        </w:rPr>
        <w:t>notturno</w:t>
      </w:r>
      <w:r w:rsidRPr="00006F6C">
        <w:rPr>
          <w:rFonts w:ascii="Calibri" w:hAnsi="Calibri" w:cs="Calibri"/>
          <w:sz w:val="22"/>
          <w:szCs w:val="22"/>
        </w:rPr>
        <w:t xml:space="preserve"> includono alcuni che sono inerenti al sistema di illuminazione stradale e ad altri esterni, come di seguito riportato.</w:t>
      </w:r>
    </w:p>
    <w:p w:rsidR="00006F6C" w:rsidRDefault="00006F6C" w:rsidP="000E62A0">
      <w:pPr>
        <w:pStyle w:val="Default"/>
        <w:rPr>
          <w:rFonts w:ascii="Calibri" w:hAnsi="Calibri" w:cs="Calibri"/>
          <w:sz w:val="22"/>
          <w:szCs w:val="22"/>
        </w:rPr>
      </w:pPr>
      <w:r w:rsidRPr="00006F6C">
        <w:rPr>
          <w:rFonts w:ascii="Calibri" w:hAnsi="Calibri" w:cs="Calibri"/>
          <w:sz w:val="22"/>
          <w:szCs w:val="22"/>
        </w:rPr>
        <w:t>Fattori di luce di strada:</w:t>
      </w:r>
    </w:p>
    <w:p w:rsidR="00006F6C" w:rsidRDefault="00006F6C" w:rsidP="00006F6C">
      <w:pPr>
        <w:pStyle w:val="Default"/>
        <w:numPr>
          <w:ilvl w:val="0"/>
          <w:numId w:val="4"/>
        </w:numPr>
        <w:rPr>
          <w:rFonts w:ascii="Calibri" w:hAnsi="Calibri" w:cs="Calibri"/>
          <w:sz w:val="22"/>
          <w:szCs w:val="22"/>
        </w:rPr>
      </w:pPr>
      <w:r>
        <w:rPr>
          <w:rFonts w:ascii="Calibri" w:hAnsi="Calibri" w:cs="Calibri"/>
          <w:sz w:val="22"/>
          <w:szCs w:val="22"/>
        </w:rPr>
        <w:t xml:space="preserve">Uscita </w:t>
      </w:r>
      <w:r w:rsidRPr="00006F6C">
        <w:rPr>
          <w:rFonts w:ascii="Calibri" w:hAnsi="Calibri" w:cs="Calibri"/>
          <w:sz w:val="22"/>
          <w:szCs w:val="22"/>
        </w:rPr>
        <w:t>lu</w:t>
      </w:r>
      <w:r>
        <w:rPr>
          <w:rFonts w:ascii="Calibri" w:hAnsi="Calibri" w:cs="Calibri"/>
          <w:sz w:val="22"/>
          <w:szCs w:val="22"/>
        </w:rPr>
        <w:t>minosa de</w:t>
      </w:r>
      <w:r w:rsidR="001C6D8D">
        <w:rPr>
          <w:rFonts w:ascii="Calibri" w:hAnsi="Calibri" w:cs="Calibri"/>
          <w:sz w:val="22"/>
          <w:szCs w:val="22"/>
        </w:rPr>
        <w:t>lle luci stradali</w:t>
      </w:r>
    </w:p>
    <w:p w:rsidR="00006F6C" w:rsidRDefault="00006F6C" w:rsidP="00006F6C">
      <w:pPr>
        <w:pStyle w:val="Default"/>
        <w:numPr>
          <w:ilvl w:val="0"/>
          <w:numId w:val="4"/>
        </w:numPr>
        <w:rPr>
          <w:rFonts w:ascii="Calibri" w:hAnsi="Calibri" w:cs="Calibri"/>
          <w:sz w:val="22"/>
          <w:szCs w:val="22"/>
        </w:rPr>
      </w:pPr>
      <w:r>
        <w:rPr>
          <w:rFonts w:ascii="Calibri" w:hAnsi="Calibri" w:cs="Calibri"/>
          <w:sz w:val="22"/>
          <w:szCs w:val="22"/>
        </w:rPr>
        <w:t>Distribuz</w:t>
      </w:r>
      <w:r w:rsidRPr="00006F6C">
        <w:rPr>
          <w:rFonts w:ascii="Calibri" w:hAnsi="Calibri" w:cs="Calibri"/>
          <w:sz w:val="22"/>
          <w:szCs w:val="22"/>
        </w:rPr>
        <w:t>ion</w:t>
      </w:r>
      <w:r>
        <w:rPr>
          <w:rFonts w:ascii="Calibri" w:hAnsi="Calibri" w:cs="Calibri"/>
          <w:sz w:val="22"/>
          <w:szCs w:val="22"/>
        </w:rPr>
        <w:t xml:space="preserve">e </w:t>
      </w:r>
      <w:r w:rsidR="001C6D8D">
        <w:rPr>
          <w:rFonts w:ascii="Calibri" w:hAnsi="Calibri" w:cs="Calibri"/>
          <w:sz w:val="22"/>
          <w:szCs w:val="22"/>
        </w:rPr>
        <w:t>della luce emessa dai lamioni</w:t>
      </w:r>
      <w:r w:rsidRPr="00006F6C">
        <w:rPr>
          <w:rFonts w:ascii="Calibri" w:hAnsi="Calibri" w:cs="Calibri"/>
          <w:sz w:val="22"/>
          <w:szCs w:val="22"/>
        </w:rPr>
        <w:t xml:space="preserve">, inclusa </w:t>
      </w:r>
      <w:r w:rsidR="001C6D8D">
        <w:rPr>
          <w:rFonts w:ascii="Calibri" w:hAnsi="Calibri" w:cs="Calibri"/>
          <w:sz w:val="22"/>
          <w:szCs w:val="22"/>
        </w:rPr>
        <w:t>quella</w:t>
      </w:r>
      <w:r>
        <w:rPr>
          <w:rFonts w:ascii="Calibri" w:hAnsi="Calibri" w:cs="Calibri"/>
          <w:sz w:val="22"/>
          <w:szCs w:val="22"/>
        </w:rPr>
        <w:t xml:space="preserve"> verso l’alto</w:t>
      </w:r>
    </w:p>
    <w:p w:rsidR="00006F6C" w:rsidRDefault="001C6D8D" w:rsidP="00006F6C">
      <w:pPr>
        <w:pStyle w:val="Default"/>
        <w:numPr>
          <w:ilvl w:val="0"/>
          <w:numId w:val="4"/>
        </w:numPr>
        <w:rPr>
          <w:rFonts w:ascii="Calibri" w:hAnsi="Calibri" w:cs="Calibri"/>
          <w:sz w:val="22"/>
          <w:szCs w:val="22"/>
        </w:rPr>
      </w:pPr>
      <w:r>
        <w:rPr>
          <w:rFonts w:ascii="Calibri" w:hAnsi="Calibri" w:cs="Calibri"/>
          <w:sz w:val="22"/>
          <w:szCs w:val="22"/>
        </w:rPr>
        <w:t>C</w:t>
      </w:r>
      <w:r w:rsidR="00006F6C" w:rsidRPr="00006F6C">
        <w:rPr>
          <w:rFonts w:ascii="Calibri" w:hAnsi="Calibri" w:cs="Calibri"/>
          <w:sz w:val="22"/>
          <w:szCs w:val="22"/>
        </w:rPr>
        <w:t xml:space="preserve">ontenuto </w:t>
      </w:r>
      <w:r>
        <w:rPr>
          <w:rFonts w:ascii="Calibri" w:hAnsi="Calibri" w:cs="Calibri"/>
          <w:sz w:val="22"/>
          <w:szCs w:val="22"/>
        </w:rPr>
        <w:t>spettrale (</w:t>
      </w:r>
      <w:r w:rsidRPr="00006F6C">
        <w:rPr>
          <w:rFonts w:ascii="Calibri" w:hAnsi="Calibri" w:cs="Calibri"/>
          <w:sz w:val="22"/>
          <w:szCs w:val="22"/>
        </w:rPr>
        <w:t>lunghezze d'onda</w:t>
      </w:r>
      <w:r>
        <w:rPr>
          <w:rFonts w:ascii="Calibri" w:hAnsi="Calibri" w:cs="Calibri"/>
          <w:sz w:val="22"/>
          <w:szCs w:val="22"/>
        </w:rPr>
        <w:t xml:space="preserve">) </w:t>
      </w:r>
      <w:r w:rsidR="00006F6C" w:rsidRPr="00006F6C">
        <w:rPr>
          <w:rFonts w:ascii="Calibri" w:hAnsi="Calibri" w:cs="Calibri"/>
          <w:sz w:val="22"/>
          <w:szCs w:val="22"/>
        </w:rPr>
        <w:t>della luce emessa</w:t>
      </w:r>
    </w:p>
    <w:p w:rsidR="00006F6C" w:rsidRDefault="00006F6C" w:rsidP="000E62A0">
      <w:pPr>
        <w:pStyle w:val="Default"/>
        <w:rPr>
          <w:rFonts w:ascii="Calibri" w:hAnsi="Calibri" w:cs="Calibri"/>
          <w:sz w:val="22"/>
          <w:szCs w:val="22"/>
        </w:rPr>
      </w:pPr>
    </w:p>
    <w:p w:rsidR="00006F6C" w:rsidRDefault="00006F6C" w:rsidP="000E62A0">
      <w:pPr>
        <w:pStyle w:val="Default"/>
        <w:rPr>
          <w:rFonts w:ascii="Calibri" w:hAnsi="Calibri" w:cs="Calibri"/>
          <w:sz w:val="22"/>
          <w:szCs w:val="22"/>
        </w:rPr>
      </w:pPr>
      <w:r w:rsidRPr="00006F6C">
        <w:rPr>
          <w:rFonts w:ascii="Calibri" w:hAnsi="Calibri" w:cs="Calibri"/>
          <w:sz w:val="22"/>
          <w:szCs w:val="22"/>
        </w:rPr>
        <w:t>Fattori esterni:</w:t>
      </w:r>
    </w:p>
    <w:p w:rsidR="00006F6C" w:rsidRDefault="001C6D8D" w:rsidP="001C6D8D">
      <w:pPr>
        <w:pStyle w:val="Default"/>
        <w:numPr>
          <w:ilvl w:val="0"/>
          <w:numId w:val="6"/>
        </w:numPr>
        <w:rPr>
          <w:rFonts w:ascii="Calibri" w:hAnsi="Calibri" w:cs="Calibri"/>
          <w:sz w:val="22"/>
          <w:szCs w:val="22"/>
        </w:rPr>
      </w:pPr>
      <w:r>
        <w:rPr>
          <w:rFonts w:ascii="Calibri" w:hAnsi="Calibri" w:cs="Calibri"/>
          <w:sz w:val="22"/>
          <w:szCs w:val="22"/>
        </w:rPr>
        <w:t>Condizioni atmosferiche (cielo chiaro, nuvoloso</w:t>
      </w:r>
      <w:r w:rsidR="00006F6C" w:rsidRPr="00006F6C">
        <w:rPr>
          <w:rFonts w:ascii="Calibri" w:hAnsi="Calibri" w:cs="Calibri"/>
          <w:sz w:val="22"/>
          <w:szCs w:val="22"/>
        </w:rPr>
        <w:t xml:space="preserve"> e una gamma di umidità, torbidità e contenuto di particolato)</w:t>
      </w:r>
    </w:p>
    <w:p w:rsidR="00006F6C" w:rsidRDefault="00006F6C" w:rsidP="001C6D8D">
      <w:pPr>
        <w:pStyle w:val="Default"/>
        <w:numPr>
          <w:ilvl w:val="0"/>
          <w:numId w:val="6"/>
        </w:numPr>
        <w:rPr>
          <w:rFonts w:ascii="Calibri" w:hAnsi="Calibri" w:cs="Calibri"/>
          <w:sz w:val="22"/>
          <w:szCs w:val="22"/>
        </w:rPr>
      </w:pPr>
      <w:r w:rsidRPr="00006F6C">
        <w:rPr>
          <w:rFonts w:ascii="Calibri" w:hAnsi="Calibri" w:cs="Calibri"/>
          <w:sz w:val="22"/>
          <w:szCs w:val="22"/>
        </w:rPr>
        <w:t>La dimensione della città e la densità di illuminazione</w:t>
      </w:r>
    </w:p>
    <w:p w:rsidR="00006F6C" w:rsidRDefault="00006F6C" w:rsidP="001C6D8D">
      <w:pPr>
        <w:pStyle w:val="Default"/>
        <w:numPr>
          <w:ilvl w:val="0"/>
          <w:numId w:val="6"/>
        </w:numPr>
        <w:rPr>
          <w:rFonts w:ascii="Calibri" w:hAnsi="Calibri" w:cs="Calibri"/>
          <w:sz w:val="22"/>
          <w:szCs w:val="22"/>
        </w:rPr>
      </w:pPr>
      <w:r w:rsidRPr="00006F6C">
        <w:rPr>
          <w:rFonts w:ascii="Calibri" w:hAnsi="Calibri" w:cs="Calibri"/>
          <w:sz w:val="22"/>
          <w:szCs w:val="22"/>
        </w:rPr>
        <w:t>Posizione del</w:t>
      </w:r>
      <w:r w:rsidR="001C6D8D">
        <w:rPr>
          <w:rFonts w:ascii="Calibri" w:hAnsi="Calibri" w:cs="Calibri"/>
          <w:sz w:val="22"/>
          <w:szCs w:val="22"/>
        </w:rPr>
        <w:t>l’osservatore</w:t>
      </w:r>
      <w:r w:rsidRPr="00006F6C">
        <w:rPr>
          <w:rFonts w:ascii="Calibri" w:hAnsi="Calibri" w:cs="Calibri"/>
          <w:sz w:val="22"/>
          <w:szCs w:val="22"/>
        </w:rPr>
        <w:t xml:space="preserve"> rispetto al centro della città</w:t>
      </w:r>
    </w:p>
    <w:p w:rsidR="001C6D8D" w:rsidRDefault="00006F6C" w:rsidP="001C6D8D">
      <w:pPr>
        <w:pStyle w:val="Default"/>
        <w:numPr>
          <w:ilvl w:val="0"/>
          <w:numId w:val="5"/>
        </w:numPr>
        <w:rPr>
          <w:rFonts w:ascii="Calibri" w:hAnsi="Calibri" w:cs="Calibri"/>
          <w:sz w:val="22"/>
          <w:szCs w:val="22"/>
        </w:rPr>
      </w:pPr>
      <w:r w:rsidRPr="00006F6C">
        <w:rPr>
          <w:rFonts w:ascii="Calibri" w:hAnsi="Calibri" w:cs="Calibri"/>
          <w:sz w:val="22"/>
          <w:szCs w:val="22"/>
        </w:rPr>
        <w:t>Sostenere presupposti fissi, come i valori di riflessione della superficie del suolo su cui è proiettata la luce</w:t>
      </w:r>
    </w:p>
    <w:p w:rsidR="00006F6C" w:rsidRDefault="00006F6C" w:rsidP="001C6D8D">
      <w:pPr>
        <w:pStyle w:val="Default"/>
        <w:rPr>
          <w:rFonts w:ascii="Calibri" w:hAnsi="Calibri" w:cs="Calibri"/>
          <w:sz w:val="22"/>
          <w:szCs w:val="22"/>
        </w:rPr>
      </w:pPr>
    </w:p>
    <w:p w:rsidR="00006F6C" w:rsidRDefault="00006F6C" w:rsidP="000E62A0">
      <w:pPr>
        <w:pStyle w:val="Default"/>
        <w:rPr>
          <w:rFonts w:ascii="Calibri" w:hAnsi="Calibri" w:cs="Calibri"/>
          <w:sz w:val="22"/>
          <w:szCs w:val="22"/>
        </w:rPr>
      </w:pPr>
      <w:r w:rsidRPr="00006F6C">
        <w:rPr>
          <w:rFonts w:ascii="Calibri" w:hAnsi="Calibri" w:cs="Calibri"/>
          <w:sz w:val="22"/>
          <w:szCs w:val="22"/>
        </w:rPr>
        <w:t>Altri fattori non considerati qui a causa dell'onere computazionale associato, ma che sarebbero pertinenti per una posizione effettiva, includono quanto segue:</w:t>
      </w:r>
    </w:p>
    <w:p w:rsidR="00006F6C" w:rsidRDefault="00006F6C" w:rsidP="001C6D8D">
      <w:pPr>
        <w:pStyle w:val="Default"/>
        <w:numPr>
          <w:ilvl w:val="0"/>
          <w:numId w:val="5"/>
        </w:numPr>
        <w:rPr>
          <w:rFonts w:ascii="Calibri" w:hAnsi="Calibri" w:cs="Calibri"/>
          <w:sz w:val="22"/>
          <w:szCs w:val="22"/>
        </w:rPr>
      </w:pPr>
      <w:r w:rsidRPr="00006F6C">
        <w:rPr>
          <w:rFonts w:ascii="Calibri" w:hAnsi="Calibri" w:cs="Calibri"/>
          <w:sz w:val="22"/>
          <w:szCs w:val="22"/>
        </w:rPr>
        <w:t>Forma della città e distribuzione delle sorgenti luminose e delle loro intensità associate</w:t>
      </w:r>
    </w:p>
    <w:p w:rsidR="00006F6C" w:rsidRDefault="00006F6C" w:rsidP="001C6D8D">
      <w:pPr>
        <w:pStyle w:val="Default"/>
        <w:numPr>
          <w:ilvl w:val="0"/>
          <w:numId w:val="5"/>
        </w:numPr>
        <w:rPr>
          <w:rFonts w:ascii="Calibri" w:hAnsi="Calibri" w:cs="Calibri"/>
          <w:sz w:val="22"/>
          <w:szCs w:val="22"/>
        </w:rPr>
      </w:pPr>
      <w:r w:rsidRPr="00006F6C">
        <w:rPr>
          <w:rFonts w:ascii="Calibri" w:hAnsi="Calibri" w:cs="Calibri"/>
          <w:sz w:val="22"/>
          <w:szCs w:val="22"/>
        </w:rPr>
        <w:t>Variazioni in dimensioni, forma e distribuzione del particolato atmosferico</w:t>
      </w:r>
    </w:p>
    <w:p w:rsidR="00006F6C" w:rsidRDefault="00006F6C" w:rsidP="001C6D8D">
      <w:pPr>
        <w:pStyle w:val="Default"/>
        <w:numPr>
          <w:ilvl w:val="0"/>
          <w:numId w:val="5"/>
        </w:numPr>
        <w:rPr>
          <w:rFonts w:ascii="Calibri" w:hAnsi="Calibri" w:cs="Calibri"/>
          <w:sz w:val="22"/>
          <w:szCs w:val="22"/>
        </w:rPr>
      </w:pPr>
      <w:r w:rsidRPr="00006F6C">
        <w:rPr>
          <w:rFonts w:ascii="Calibri" w:hAnsi="Calibri" w:cs="Calibri"/>
          <w:sz w:val="22"/>
          <w:szCs w:val="22"/>
        </w:rPr>
        <w:t>Spargimento multiplo di lunghezze d'onda (</w:t>
      </w:r>
      <w:r w:rsidR="001C6D8D" w:rsidRPr="00006F6C">
        <w:rPr>
          <w:rFonts w:ascii="Calibri" w:hAnsi="Calibri" w:cs="Calibri"/>
          <w:sz w:val="22"/>
          <w:szCs w:val="22"/>
        </w:rPr>
        <w:t xml:space="preserve">in questo studio è stato preso in considerazione </w:t>
      </w:r>
      <w:r w:rsidRPr="00006F6C">
        <w:rPr>
          <w:rFonts w:ascii="Calibri" w:hAnsi="Calibri" w:cs="Calibri"/>
          <w:sz w:val="22"/>
          <w:szCs w:val="22"/>
        </w:rPr>
        <w:t xml:space="preserve">solo </w:t>
      </w:r>
      <w:r w:rsidR="001C6D8D">
        <w:rPr>
          <w:rFonts w:ascii="Calibri" w:hAnsi="Calibri" w:cs="Calibri"/>
          <w:sz w:val="22"/>
          <w:szCs w:val="22"/>
        </w:rPr>
        <w:t>la singola dispersione (scattering)</w:t>
      </w:r>
      <w:r w:rsidRPr="00006F6C">
        <w:rPr>
          <w:rFonts w:ascii="Calibri" w:hAnsi="Calibri" w:cs="Calibri"/>
          <w:sz w:val="22"/>
          <w:szCs w:val="22"/>
        </w:rPr>
        <w:t>)</w:t>
      </w:r>
    </w:p>
    <w:p w:rsidR="00006F6C" w:rsidRDefault="00006F6C" w:rsidP="001C6D8D">
      <w:pPr>
        <w:pStyle w:val="Default"/>
        <w:numPr>
          <w:ilvl w:val="0"/>
          <w:numId w:val="5"/>
        </w:numPr>
        <w:rPr>
          <w:rFonts w:ascii="Calibri" w:hAnsi="Calibri" w:cs="Calibri"/>
          <w:sz w:val="22"/>
          <w:szCs w:val="22"/>
        </w:rPr>
      </w:pPr>
      <w:r w:rsidRPr="00006F6C">
        <w:rPr>
          <w:rFonts w:ascii="Calibri" w:hAnsi="Calibri" w:cs="Calibri"/>
          <w:sz w:val="22"/>
          <w:szCs w:val="22"/>
        </w:rPr>
        <w:t xml:space="preserve">Effetti </w:t>
      </w:r>
      <w:r w:rsidR="001C6D8D">
        <w:rPr>
          <w:rFonts w:ascii="Calibri" w:hAnsi="Calibri" w:cs="Calibri"/>
          <w:sz w:val="22"/>
          <w:szCs w:val="22"/>
        </w:rPr>
        <w:t>di estinzione</w:t>
      </w:r>
      <w:r w:rsidRPr="00006F6C">
        <w:rPr>
          <w:rFonts w:ascii="Calibri" w:hAnsi="Calibri" w:cs="Calibri"/>
          <w:sz w:val="22"/>
          <w:szCs w:val="22"/>
        </w:rPr>
        <w:t xml:space="preserve"> (assorbimento o blocco) di edifici, alberi e terreni</w:t>
      </w:r>
    </w:p>
    <w:p w:rsidR="00006F6C" w:rsidRDefault="00006F6C" w:rsidP="000E62A0">
      <w:pPr>
        <w:pStyle w:val="Default"/>
        <w:rPr>
          <w:rFonts w:ascii="Calibri" w:hAnsi="Calibri" w:cs="Calibri"/>
          <w:sz w:val="22"/>
          <w:szCs w:val="22"/>
        </w:rPr>
      </w:pPr>
    </w:p>
    <w:p w:rsidR="00006F6C" w:rsidRDefault="00006F6C" w:rsidP="000E62A0">
      <w:pPr>
        <w:pStyle w:val="Default"/>
        <w:rPr>
          <w:rFonts w:ascii="Calibri" w:hAnsi="Calibri" w:cs="Calibri"/>
          <w:sz w:val="22"/>
          <w:szCs w:val="22"/>
        </w:rPr>
      </w:pPr>
      <w:r w:rsidRPr="00006F6C">
        <w:rPr>
          <w:rFonts w:ascii="Calibri" w:hAnsi="Calibri" w:cs="Calibri"/>
          <w:sz w:val="22"/>
          <w:szCs w:val="22"/>
        </w:rPr>
        <w:t xml:space="preserve">Questo studio stima le modifiche tipiche del </w:t>
      </w:r>
      <w:r w:rsidR="004A02FD">
        <w:rPr>
          <w:rFonts w:ascii="Calibri" w:hAnsi="Calibri" w:cs="Calibri"/>
          <w:sz w:val="22"/>
          <w:szCs w:val="22"/>
        </w:rPr>
        <w:t>chiaroew</w:t>
      </w:r>
      <w:r w:rsidRPr="00006F6C">
        <w:rPr>
          <w:rFonts w:ascii="Calibri" w:hAnsi="Calibri" w:cs="Calibri"/>
          <w:sz w:val="22"/>
          <w:szCs w:val="22"/>
        </w:rPr>
        <w:t xml:space="preserve"> del cielo negli Stati Uniti che si verificano come risultato della conversione dell'illuminazione stradale HPS a fonti di spettro più ampie, con particolare attenzione ai LED, e riferisce i contributi relativi alle condizioni basali della HPS. È importante notare che i re</w:t>
      </w:r>
      <w:r w:rsidR="004A02FD">
        <w:rPr>
          <w:rFonts w:ascii="Calibri" w:hAnsi="Calibri" w:cs="Calibri"/>
          <w:sz w:val="22"/>
          <w:szCs w:val="22"/>
        </w:rPr>
        <w:t>lativi confronti dell'impatto del</w:t>
      </w:r>
      <w:r w:rsidRPr="00006F6C">
        <w:rPr>
          <w:rFonts w:ascii="Calibri" w:hAnsi="Calibri" w:cs="Calibri"/>
          <w:sz w:val="22"/>
          <w:szCs w:val="22"/>
        </w:rPr>
        <w:t xml:space="preserve"> </w:t>
      </w:r>
      <w:r w:rsidR="004A02FD">
        <w:rPr>
          <w:rFonts w:ascii="Calibri" w:hAnsi="Calibri" w:cs="Calibri"/>
          <w:sz w:val="22"/>
          <w:szCs w:val="22"/>
        </w:rPr>
        <w:t>chiarore notturno</w:t>
      </w:r>
      <w:r w:rsidRPr="00006F6C">
        <w:rPr>
          <w:rFonts w:ascii="Calibri" w:hAnsi="Calibri" w:cs="Calibri"/>
          <w:sz w:val="22"/>
          <w:szCs w:val="22"/>
        </w:rPr>
        <w:t xml:space="preserve"> si applicano solo al contributo del sistema di illuminazione stradale al cielo che illumina una città e non all'impatto che tutte le sorgenti luminose della città hanno in quel cielo. La sezione 9.3 descrive in dettaglio questo argomento. Sono presentati anche i problemi associati alle scelte di qualità dell'energia e dell'illuminazione tipicamente associate a vari mezzi di riduzione del </w:t>
      </w:r>
      <w:r w:rsidR="004A02FD">
        <w:rPr>
          <w:rFonts w:ascii="Calibri" w:hAnsi="Calibri" w:cs="Calibri"/>
          <w:sz w:val="22"/>
          <w:szCs w:val="22"/>
        </w:rPr>
        <w:t>chiarore notturno</w:t>
      </w:r>
      <w:r w:rsidRPr="00006F6C">
        <w:rPr>
          <w:rFonts w:ascii="Calibri" w:hAnsi="Calibri" w:cs="Calibri"/>
          <w:sz w:val="22"/>
          <w:szCs w:val="22"/>
        </w:rPr>
        <w:t>. Tuttavia, gli impatti biologici associati delle lunghezze d'onda corte sono fuori dall'ambito di questo studio.</w:t>
      </w:r>
    </w:p>
    <w:p w:rsidR="00006F6C" w:rsidRDefault="00006F6C" w:rsidP="000E62A0">
      <w:pPr>
        <w:pStyle w:val="Default"/>
        <w:rPr>
          <w:rFonts w:ascii="Calibri" w:hAnsi="Calibri" w:cs="Calibri"/>
          <w:sz w:val="22"/>
          <w:szCs w:val="22"/>
        </w:rPr>
      </w:pPr>
    </w:p>
    <w:p w:rsidR="000E62A0" w:rsidRDefault="000E62A0">
      <w:pPr>
        <w:rPr>
          <w:rFonts w:ascii="Calibri" w:hAnsi="Calibri" w:cs="Calibri"/>
        </w:rPr>
      </w:pPr>
      <w:r>
        <w:rPr>
          <w:rFonts w:ascii="Calibri" w:hAnsi="Calibri" w:cs="Calibri"/>
        </w:rPr>
        <w:br w:type="page"/>
      </w:r>
    </w:p>
    <w:p w:rsidR="000E62A0" w:rsidRDefault="000E62A0" w:rsidP="004A02FD">
      <w:pPr>
        <w:pStyle w:val="Titolo1"/>
      </w:pPr>
      <w:bookmarkStart w:id="0" w:name="_Ref493764609"/>
      <w:r>
        <w:lastRenderedPageBreak/>
        <w:t>A Brief Background on Sky Glow</w:t>
      </w:r>
      <w:bookmarkEnd w:id="0"/>
      <w:r>
        <w:t xml:space="preserve"> </w:t>
      </w:r>
    </w:p>
    <w:p w:rsidR="004A02FD" w:rsidRDefault="004832A5" w:rsidP="000E62A0">
      <w:pPr>
        <w:pStyle w:val="Default"/>
        <w:rPr>
          <w:rFonts w:ascii="Calibri" w:hAnsi="Calibri" w:cs="Calibri"/>
          <w:sz w:val="22"/>
          <w:szCs w:val="22"/>
        </w:rPr>
      </w:pPr>
      <w:r>
        <w:rPr>
          <w:rFonts w:ascii="Calibri" w:hAnsi="Calibri" w:cs="Calibri"/>
          <w:sz w:val="22"/>
          <w:szCs w:val="22"/>
        </w:rPr>
        <w:t>Esiste un gran nu</w:t>
      </w:r>
      <w:r w:rsidR="004A02FD">
        <w:rPr>
          <w:rFonts w:ascii="Calibri" w:hAnsi="Calibri" w:cs="Calibri"/>
          <w:sz w:val="22"/>
          <w:szCs w:val="22"/>
        </w:rPr>
        <w:t>mero di ricerche sulle sorgenti, severità e conseguente del chiarore notturno</w:t>
      </w:r>
      <w:r w:rsidRPr="004A02FD">
        <w:rPr>
          <w:rFonts w:ascii="Calibri" w:hAnsi="Calibri" w:cs="Calibri"/>
          <w:sz w:val="22"/>
          <w:szCs w:val="22"/>
          <w:vertAlign w:val="superscript"/>
        </w:rPr>
        <w:t>2</w:t>
      </w:r>
      <w:r w:rsidR="004A02FD">
        <w:rPr>
          <w:rFonts w:ascii="Calibri" w:hAnsi="Calibri" w:cs="Calibri"/>
          <w:sz w:val="22"/>
          <w:szCs w:val="22"/>
        </w:rPr>
        <w:t xml:space="preserve">. Molti </w:t>
      </w:r>
      <w:r>
        <w:rPr>
          <w:rFonts w:ascii="Calibri" w:hAnsi="Calibri" w:cs="Calibri"/>
          <w:sz w:val="22"/>
          <w:szCs w:val="22"/>
        </w:rPr>
        <w:t>di questi studi descrivono i metodi di modellazione che incororporano le stime delle diverse proprietà di riflettanza e dispersione, o le procedure per misurare il chiarore del cielo per stimare l’impatto sulla visibilità del cielo notturno. È utile una breve analisi sui concetti e termini usati comunemente, per comprendere meglio le questioni rilevanti.</w:t>
      </w:r>
    </w:p>
    <w:p w:rsidR="004A02FD" w:rsidRDefault="004A02FD" w:rsidP="000E62A0">
      <w:pPr>
        <w:pStyle w:val="Default"/>
        <w:rPr>
          <w:rFonts w:ascii="Calibri" w:hAnsi="Calibri" w:cs="Calibri"/>
          <w:sz w:val="22"/>
          <w:szCs w:val="22"/>
        </w:rPr>
      </w:pPr>
    </w:p>
    <w:p w:rsidR="000E62A0" w:rsidRDefault="000E62A0" w:rsidP="00D817D5">
      <w:pPr>
        <w:pStyle w:val="Titolo2"/>
      </w:pPr>
      <w:r>
        <w:t xml:space="preserve">2.1 Astronomical observation </w:t>
      </w:r>
    </w:p>
    <w:p w:rsidR="004832A5" w:rsidRDefault="004832A5" w:rsidP="000E62A0">
      <w:pPr>
        <w:pStyle w:val="Default"/>
        <w:rPr>
          <w:rFonts w:ascii="Calibri" w:hAnsi="Calibri" w:cs="Calibri"/>
          <w:sz w:val="22"/>
          <w:szCs w:val="22"/>
        </w:rPr>
      </w:pPr>
      <w:r>
        <w:rPr>
          <w:rFonts w:ascii="Calibri" w:hAnsi="Calibri" w:cs="Calibri"/>
          <w:sz w:val="22"/>
          <w:szCs w:val="22"/>
        </w:rPr>
        <w:t xml:space="preserve">La luminosità delle Stelle è descritta come magnitudine visuale, una scala logaritmica inversa dove i numeri </w:t>
      </w:r>
      <w:r w:rsidR="00DF4F75">
        <w:rPr>
          <w:rFonts w:ascii="Calibri" w:hAnsi="Calibri" w:cs="Calibri"/>
          <w:sz w:val="22"/>
          <w:szCs w:val="22"/>
        </w:rPr>
        <w:t xml:space="preserve">più piccoli sono assegnati agli oggetti più luminosi. Questa scala fù sviluppata in origine dagli antichi astronomi Greci (Ipparco), che suddivisero le stelle in sei categorie di visibilità, la più luminosa assegnata alla magnitudine 1 e la più debole alla 6a. </w:t>
      </w:r>
    </w:p>
    <w:p w:rsidR="00DF4F75" w:rsidRDefault="00DF4F75" w:rsidP="000E62A0">
      <w:pPr>
        <w:pStyle w:val="Default"/>
        <w:rPr>
          <w:rFonts w:ascii="Calibri" w:hAnsi="Calibri" w:cs="Calibri"/>
          <w:sz w:val="22"/>
          <w:szCs w:val="22"/>
        </w:rPr>
      </w:pPr>
      <w:r>
        <w:rPr>
          <w:rFonts w:ascii="Calibri" w:hAnsi="Calibri" w:cs="Calibri"/>
          <w:sz w:val="22"/>
          <w:szCs w:val="22"/>
        </w:rPr>
        <w:t>Dopo un paio di millenni</w:t>
      </w:r>
      <w:r w:rsidRPr="00DF4F75">
        <w:rPr>
          <w:rFonts w:ascii="Calibri" w:hAnsi="Calibri" w:cs="Calibri"/>
          <w:sz w:val="22"/>
          <w:szCs w:val="22"/>
        </w:rPr>
        <w:t xml:space="preserve"> gran parte del nostro attuale schema di quantificazione si basa ancora su questo metodo rudimentale, anche se in questo momento sono state sviluppate tecniche di misurazione e calcolo molto più sofisticate, tra cui l'espansione della scala </w:t>
      </w:r>
      <w:r>
        <w:rPr>
          <w:rFonts w:ascii="Calibri" w:hAnsi="Calibri" w:cs="Calibri"/>
          <w:sz w:val="22"/>
          <w:szCs w:val="22"/>
        </w:rPr>
        <w:t xml:space="preserve">molto </w:t>
      </w:r>
      <w:r w:rsidRPr="00DF4F75">
        <w:rPr>
          <w:rFonts w:ascii="Calibri" w:hAnsi="Calibri" w:cs="Calibri"/>
          <w:sz w:val="22"/>
          <w:szCs w:val="22"/>
        </w:rPr>
        <w:t xml:space="preserve">oltre i </w:t>
      </w:r>
      <w:r>
        <w:rPr>
          <w:rFonts w:ascii="Calibri" w:hAnsi="Calibri" w:cs="Calibri"/>
          <w:sz w:val="22"/>
          <w:szCs w:val="22"/>
        </w:rPr>
        <w:t>valori da 1 a 6</w:t>
      </w:r>
      <w:r w:rsidRPr="00DF4F75">
        <w:rPr>
          <w:rFonts w:ascii="Calibri" w:hAnsi="Calibri" w:cs="Calibri"/>
          <w:sz w:val="22"/>
          <w:szCs w:val="22"/>
        </w:rPr>
        <w:t>.</w:t>
      </w:r>
    </w:p>
    <w:p w:rsidR="00272EBC" w:rsidRDefault="00272EBC" w:rsidP="000E62A0">
      <w:pPr>
        <w:pStyle w:val="Default"/>
        <w:rPr>
          <w:rFonts w:ascii="Calibri" w:hAnsi="Calibri" w:cs="Calibri"/>
          <w:sz w:val="22"/>
          <w:szCs w:val="22"/>
        </w:rPr>
      </w:pPr>
      <w:r>
        <w:rPr>
          <w:rFonts w:ascii="Calibri" w:hAnsi="Calibri" w:cs="Calibri"/>
          <w:sz w:val="22"/>
          <w:szCs w:val="22"/>
        </w:rPr>
        <w:t>Per essere visibili le stelle e gli altri oggetti celesti devono avere un contrasto sufficiente sullo sfondo del cielo. Ciò significa che con l’aumento</w:t>
      </w:r>
      <w:r w:rsidRPr="00272EBC">
        <w:rPr>
          <w:rFonts w:ascii="Calibri" w:hAnsi="Calibri" w:cs="Calibri"/>
          <w:sz w:val="22"/>
          <w:szCs w:val="22"/>
        </w:rPr>
        <w:t xml:space="preserve"> </w:t>
      </w:r>
      <w:r>
        <w:rPr>
          <w:rFonts w:ascii="Calibri" w:hAnsi="Calibri" w:cs="Calibri"/>
          <w:sz w:val="22"/>
          <w:szCs w:val="22"/>
        </w:rPr>
        <w:t>del</w:t>
      </w:r>
      <w:r w:rsidRPr="00272EBC">
        <w:rPr>
          <w:rFonts w:ascii="Calibri" w:hAnsi="Calibri" w:cs="Calibri"/>
          <w:sz w:val="22"/>
          <w:szCs w:val="22"/>
        </w:rPr>
        <w:t xml:space="preserve">la luminosità di sfondo o la luminosità del cielo, un numero crescente di oggetti </w:t>
      </w:r>
      <w:r>
        <w:rPr>
          <w:rFonts w:ascii="Calibri" w:hAnsi="Calibri" w:cs="Calibri"/>
          <w:sz w:val="22"/>
          <w:szCs w:val="22"/>
        </w:rPr>
        <w:t xml:space="preserve">viene oscurato </w:t>
      </w:r>
      <w:r w:rsidRPr="00272EBC">
        <w:rPr>
          <w:rFonts w:ascii="Calibri" w:hAnsi="Calibri" w:cs="Calibri"/>
          <w:sz w:val="22"/>
          <w:szCs w:val="22"/>
        </w:rPr>
        <w:t xml:space="preserve">alla vista. In una notte chiara e senza luna in un ambiente privo di inquinamento luminoso, le stelle appena al margine della visibilità libera ad un occhio umano completamente </w:t>
      </w:r>
      <w:r>
        <w:rPr>
          <w:rFonts w:ascii="Calibri" w:hAnsi="Calibri" w:cs="Calibri"/>
          <w:sz w:val="22"/>
          <w:szCs w:val="22"/>
        </w:rPr>
        <w:t>adattato</w:t>
      </w:r>
      <w:r w:rsidRPr="00272EBC">
        <w:rPr>
          <w:rFonts w:ascii="Calibri" w:hAnsi="Calibri" w:cs="Calibri"/>
          <w:sz w:val="22"/>
          <w:szCs w:val="22"/>
        </w:rPr>
        <w:t xml:space="preserve"> possono </w:t>
      </w:r>
      <w:r>
        <w:rPr>
          <w:rFonts w:ascii="Calibri" w:hAnsi="Calibri" w:cs="Calibri"/>
          <w:sz w:val="22"/>
          <w:szCs w:val="22"/>
        </w:rPr>
        <w:t>arrivare</w:t>
      </w:r>
      <w:r w:rsidRPr="00272EBC">
        <w:rPr>
          <w:rFonts w:ascii="Calibri" w:hAnsi="Calibri" w:cs="Calibri"/>
          <w:sz w:val="22"/>
          <w:szCs w:val="22"/>
        </w:rPr>
        <w:t xml:space="preserve"> tra le magnitudini </w:t>
      </w:r>
      <w:r>
        <w:rPr>
          <w:rFonts w:ascii="Calibri" w:hAnsi="Calibri" w:cs="Calibri"/>
          <w:sz w:val="22"/>
          <w:szCs w:val="22"/>
        </w:rPr>
        <w:t>+</w:t>
      </w:r>
      <w:r w:rsidRPr="00272EBC">
        <w:rPr>
          <w:rFonts w:ascii="Calibri" w:hAnsi="Calibri" w:cs="Calibri"/>
          <w:sz w:val="22"/>
          <w:szCs w:val="22"/>
        </w:rPr>
        <w:t xml:space="preserve">6 e </w:t>
      </w:r>
      <w:r>
        <w:rPr>
          <w:rFonts w:ascii="Calibri" w:hAnsi="Calibri" w:cs="Calibri"/>
          <w:sz w:val="22"/>
          <w:szCs w:val="22"/>
        </w:rPr>
        <w:t>+</w:t>
      </w:r>
      <w:r w:rsidRPr="00272EBC">
        <w:rPr>
          <w:rFonts w:ascii="Calibri" w:hAnsi="Calibri" w:cs="Calibri"/>
          <w:sz w:val="22"/>
          <w:szCs w:val="22"/>
        </w:rPr>
        <w:t>8</w:t>
      </w:r>
      <w:r w:rsidR="000877AA">
        <w:rPr>
          <w:rFonts w:ascii="Calibri" w:hAnsi="Calibri" w:cs="Calibri"/>
          <w:sz w:val="22"/>
          <w:szCs w:val="22"/>
        </w:rPr>
        <w:t xml:space="preserve"> (</w:t>
      </w:r>
      <w:r w:rsidR="000877AA" w:rsidRPr="000877AA">
        <w:rPr>
          <w:rFonts w:ascii="Calibri" w:hAnsi="Calibri" w:cs="Calibri"/>
          <w:i/>
          <w:sz w:val="22"/>
          <w:szCs w:val="22"/>
        </w:rPr>
        <w:t>+6 = 250 volte e +8 = 1575 volte più deboli della magnitudine 1</w:t>
      </w:r>
      <w:r w:rsidR="000877AA">
        <w:rPr>
          <w:rFonts w:ascii="Calibri" w:hAnsi="Calibri" w:cs="Calibri"/>
          <w:sz w:val="22"/>
          <w:szCs w:val="22"/>
        </w:rPr>
        <w:t>)</w:t>
      </w:r>
      <w:r w:rsidRPr="00272EBC">
        <w:rPr>
          <w:rFonts w:ascii="Calibri" w:hAnsi="Calibri" w:cs="Calibri"/>
          <w:sz w:val="22"/>
          <w:szCs w:val="22"/>
        </w:rPr>
        <w:t>. Con un telescopio</w:t>
      </w:r>
      <w:r>
        <w:rPr>
          <w:rFonts w:ascii="Calibri" w:hAnsi="Calibri" w:cs="Calibri"/>
          <w:sz w:val="22"/>
          <w:szCs w:val="22"/>
        </w:rPr>
        <w:t xml:space="preserve"> professionale</w:t>
      </w:r>
      <w:r w:rsidRPr="00272EBC">
        <w:rPr>
          <w:rFonts w:ascii="Calibri" w:hAnsi="Calibri" w:cs="Calibri"/>
          <w:sz w:val="22"/>
          <w:szCs w:val="22"/>
        </w:rPr>
        <w:t>, questa gamma può esten</w:t>
      </w:r>
      <w:r>
        <w:rPr>
          <w:rFonts w:ascii="Calibri" w:hAnsi="Calibri" w:cs="Calibri"/>
          <w:sz w:val="22"/>
          <w:szCs w:val="22"/>
        </w:rPr>
        <w:t>dersi fino a +20</w:t>
      </w:r>
      <w:r w:rsidRPr="00272EBC">
        <w:rPr>
          <w:rFonts w:ascii="Calibri" w:hAnsi="Calibri" w:cs="Calibri"/>
          <w:sz w:val="22"/>
          <w:szCs w:val="22"/>
        </w:rPr>
        <w:t xml:space="preserve"> </w:t>
      </w:r>
      <w:r>
        <w:rPr>
          <w:rFonts w:ascii="Calibri" w:hAnsi="Calibri" w:cs="Calibri"/>
          <w:sz w:val="22"/>
          <w:szCs w:val="22"/>
        </w:rPr>
        <w:t>(</w:t>
      </w:r>
      <w:r w:rsidR="000877AA" w:rsidRPr="000877AA">
        <w:rPr>
          <w:rFonts w:ascii="Calibri" w:hAnsi="Calibri" w:cs="Calibri"/>
          <w:i/>
          <w:sz w:val="22"/>
          <w:szCs w:val="22"/>
        </w:rPr>
        <w:t>quasi 100 milioni di volte più debole della magnitudine 1</w:t>
      </w:r>
      <w:r>
        <w:rPr>
          <w:rFonts w:ascii="Calibri" w:hAnsi="Calibri" w:cs="Calibri"/>
          <w:sz w:val="22"/>
          <w:szCs w:val="22"/>
        </w:rPr>
        <w:t xml:space="preserve">) </w:t>
      </w:r>
      <w:r w:rsidRPr="00272EBC">
        <w:rPr>
          <w:rFonts w:ascii="Calibri" w:hAnsi="Calibri" w:cs="Calibri"/>
          <w:sz w:val="22"/>
          <w:szCs w:val="22"/>
        </w:rPr>
        <w:t>e oltre. Per illustrare l'altra estremità della scala,</w:t>
      </w:r>
      <w:r>
        <w:rPr>
          <w:rFonts w:ascii="Calibri" w:hAnsi="Calibri" w:cs="Calibri"/>
          <w:sz w:val="22"/>
          <w:szCs w:val="22"/>
        </w:rPr>
        <w:t xml:space="preserve"> il nostro sole è di magnitudo -26,7</w:t>
      </w:r>
      <w:r w:rsidRPr="00272EBC">
        <w:rPr>
          <w:rFonts w:ascii="Calibri" w:hAnsi="Calibri" w:cs="Calibri"/>
          <w:sz w:val="22"/>
          <w:szCs w:val="22"/>
        </w:rPr>
        <w:t>.</w:t>
      </w:r>
      <w:r>
        <w:rPr>
          <w:rFonts w:ascii="Calibri" w:hAnsi="Calibri" w:cs="Calibri"/>
          <w:sz w:val="22"/>
          <w:szCs w:val="22"/>
        </w:rPr>
        <w:t xml:space="preserve"> (</w:t>
      </w:r>
      <w:r w:rsidRPr="000877AA">
        <w:rPr>
          <w:rFonts w:ascii="Calibri" w:hAnsi="Calibri" w:cs="Calibri"/>
          <w:i/>
          <w:sz w:val="22"/>
          <w:szCs w:val="22"/>
        </w:rPr>
        <w:t xml:space="preserve">5,16e+106 volte la </w:t>
      </w:r>
      <w:r w:rsidR="000877AA" w:rsidRPr="000877AA">
        <w:rPr>
          <w:rFonts w:ascii="Calibri" w:hAnsi="Calibri" w:cs="Calibri"/>
          <w:i/>
          <w:sz w:val="22"/>
          <w:szCs w:val="22"/>
        </w:rPr>
        <w:t>magnitudine</w:t>
      </w:r>
      <w:r w:rsidRPr="000877AA">
        <w:rPr>
          <w:rFonts w:ascii="Calibri" w:hAnsi="Calibri" w:cs="Calibri"/>
          <w:i/>
          <w:sz w:val="22"/>
          <w:szCs w:val="22"/>
        </w:rPr>
        <w:t xml:space="preserve"> 1</w:t>
      </w:r>
      <w:r>
        <w:rPr>
          <w:rFonts w:ascii="Calibri" w:hAnsi="Calibri" w:cs="Calibri"/>
          <w:sz w:val="22"/>
          <w:szCs w:val="22"/>
        </w:rPr>
        <w:t>)</w:t>
      </w:r>
    </w:p>
    <w:p w:rsidR="000877AA" w:rsidRDefault="00272EBC" w:rsidP="000E62A0">
      <w:pPr>
        <w:pStyle w:val="Default"/>
        <w:rPr>
          <w:rFonts w:ascii="Calibri" w:hAnsi="Calibri" w:cs="Calibri"/>
          <w:sz w:val="22"/>
          <w:szCs w:val="22"/>
        </w:rPr>
      </w:pPr>
      <w:r w:rsidRPr="00272EBC">
        <w:rPr>
          <w:rFonts w:ascii="Calibri" w:hAnsi="Calibri" w:cs="Calibri"/>
          <w:sz w:val="22"/>
          <w:szCs w:val="22"/>
        </w:rPr>
        <w:t xml:space="preserve">La luminosità del cielo è spesso descritta </w:t>
      </w:r>
      <w:r w:rsidR="000877AA">
        <w:rPr>
          <w:rFonts w:ascii="Calibri" w:hAnsi="Calibri" w:cs="Calibri"/>
          <w:sz w:val="22"/>
          <w:szCs w:val="22"/>
        </w:rPr>
        <w:t>in termini di magnitudine limite, la soglia alla quale</w:t>
      </w:r>
      <w:r w:rsidRPr="00272EBC">
        <w:rPr>
          <w:rFonts w:ascii="Calibri" w:hAnsi="Calibri" w:cs="Calibri"/>
          <w:sz w:val="22"/>
          <w:szCs w:val="22"/>
        </w:rPr>
        <w:t xml:space="preserve"> gli oggetti con luminosità inferiore (cioè, grandezza positiva maggiore) non possono più essere distinti. Il numero di oggetti visibili ad una determinata luminosità è inversamente correlato a quella luminosità, in modo che qualsiasi i</w:t>
      </w:r>
      <w:r w:rsidR="000877AA">
        <w:rPr>
          <w:rFonts w:ascii="Calibri" w:hAnsi="Calibri" w:cs="Calibri"/>
          <w:sz w:val="22"/>
          <w:szCs w:val="22"/>
        </w:rPr>
        <w:t>ncremento di magnitudine limite</w:t>
      </w:r>
      <w:r w:rsidRPr="00272EBC">
        <w:rPr>
          <w:rFonts w:ascii="Calibri" w:hAnsi="Calibri" w:cs="Calibri"/>
          <w:sz w:val="22"/>
          <w:szCs w:val="22"/>
        </w:rPr>
        <w:t xml:space="preserve"> rispetto ad un ambiente incontaminato senza luce di fondo elimina rapidamente molti oggetti celesti inferiori di luminosità dalla vista.</w:t>
      </w:r>
    </w:p>
    <w:p w:rsidR="000877AA" w:rsidRDefault="000877AA" w:rsidP="000E62A0">
      <w:pPr>
        <w:pStyle w:val="Default"/>
        <w:rPr>
          <w:rFonts w:ascii="Calibri" w:hAnsi="Calibri" w:cs="Calibri"/>
          <w:sz w:val="22"/>
          <w:szCs w:val="22"/>
        </w:rPr>
      </w:pPr>
    </w:p>
    <w:p w:rsidR="000877AA" w:rsidRPr="00D817D5" w:rsidRDefault="00D817D5" w:rsidP="00D817D5">
      <w:pPr>
        <w:pStyle w:val="Titolo2"/>
      </w:pPr>
      <w:r w:rsidRPr="00D817D5">
        <w:t>2.2 Reported units of measurement</w:t>
      </w:r>
    </w:p>
    <w:p w:rsidR="00DF4F75" w:rsidRDefault="00272EBC" w:rsidP="000E62A0">
      <w:pPr>
        <w:pStyle w:val="Default"/>
        <w:rPr>
          <w:rFonts w:ascii="Calibri" w:hAnsi="Calibri" w:cs="Calibri"/>
          <w:sz w:val="22"/>
          <w:szCs w:val="22"/>
        </w:rPr>
      </w:pPr>
      <w:r w:rsidRPr="00272EBC">
        <w:rPr>
          <w:rFonts w:ascii="Calibri" w:hAnsi="Calibri" w:cs="Calibri"/>
          <w:sz w:val="22"/>
          <w:szCs w:val="22"/>
        </w:rPr>
        <w:t>Le unità di misura prodotte dai vari metodi e dispositivi utilizzati per stimare e segnalare la luminosità del cielo richiedono la conversione a seconda del loro utilizzo previsto. La figura 1 mostra un nomogramma disponibile sul s</w:t>
      </w:r>
      <w:r w:rsidR="00D817D5">
        <w:rPr>
          <w:rFonts w:ascii="Calibri" w:hAnsi="Calibri" w:cs="Calibri"/>
          <w:sz w:val="22"/>
          <w:szCs w:val="22"/>
        </w:rPr>
        <w:t>ito web di Dark Skies Awareness</w:t>
      </w:r>
      <w:r w:rsidRPr="00272EBC">
        <w:rPr>
          <w:rFonts w:ascii="Calibri" w:hAnsi="Calibri" w:cs="Calibri"/>
          <w:sz w:val="22"/>
          <w:szCs w:val="22"/>
        </w:rPr>
        <w:t xml:space="preserve"> che </w:t>
      </w:r>
      <w:r w:rsidR="00D817D5">
        <w:rPr>
          <w:rFonts w:ascii="Calibri" w:hAnsi="Calibri" w:cs="Calibri"/>
          <w:sz w:val="22"/>
          <w:szCs w:val="22"/>
        </w:rPr>
        <w:t>col</w:t>
      </w:r>
      <w:r w:rsidRPr="00272EBC">
        <w:rPr>
          <w:rFonts w:ascii="Calibri" w:hAnsi="Calibri" w:cs="Calibri"/>
          <w:sz w:val="22"/>
          <w:szCs w:val="22"/>
        </w:rPr>
        <w:t>lega diverse metriche comunemente utilizzate e c</w:t>
      </w:r>
      <w:r w:rsidR="00F03F76">
        <w:rPr>
          <w:rFonts w:ascii="Calibri" w:hAnsi="Calibri" w:cs="Calibri"/>
          <w:sz w:val="22"/>
          <w:szCs w:val="22"/>
        </w:rPr>
        <w:t>onsente una conversione di primo</w:t>
      </w:r>
      <w:r w:rsidRPr="00272EBC">
        <w:rPr>
          <w:rFonts w:ascii="Calibri" w:hAnsi="Calibri" w:cs="Calibri"/>
          <w:sz w:val="22"/>
          <w:szCs w:val="22"/>
        </w:rPr>
        <w:t xml:space="preserve"> ordine di </w:t>
      </w:r>
      <w:r w:rsidR="00F03F76">
        <w:rPr>
          <w:rFonts w:ascii="Calibri" w:hAnsi="Calibri" w:cs="Calibri"/>
          <w:sz w:val="22"/>
          <w:szCs w:val="22"/>
        </w:rPr>
        <w:t>esse</w:t>
      </w:r>
      <w:r w:rsidRPr="00272EBC">
        <w:rPr>
          <w:rFonts w:ascii="Calibri" w:hAnsi="Calibri" w:cs="Calibri"/>
          <w:sz w:val="22"/>
          <w:szCs w:val="22"/>
        </w:rPr>
        <w:t>.</w:t>
      </w:r>
    </w:p>
    <w:p w:rsidR="004832A5" w:rsidRDefault="004832A5" w:rsidP="000E62A0">
      <w:pPr>
        <w:pStyle w:val="Default"/>
        <w:rPr>
          <w:rFonts w:ascii="Calibri" w:hAnsi="Calibri" w:cs="Calibri"/>
          <w:sz w:val="14"/>
          <w:szCs w:val="14"/>
        </w:rPr>
      </w:pPr>
    </w:p>
    <w:p w:rsidR="00F03F76" w:rsidRDefault="00F03F76" w:rsidP="000E62A0">
      <w:pPr>
        <w:pStyle w:val="Default"/>
        <w:rPr>
          <w:rFonts w:ascii="Calibri" w:hAnsi="Calibri" w:cs="Calibri"/>
          <w:sz w:val="14"/>
          <w:szCs w:val="14"/>
        </w:rPr>
      </w:pPr>
    </w:p>
    <w:p w:rsidR="00F03F76" w:rsidRDefault="00F03F76" w:rsidP="000E62A0">
      <w:pPr>
        <w:pStyle w:val="Default"/>
        <w:rPr>
          <w:rFonts w:ascii="Calibri" w:hAnsi="Calibri" w:cs="Calibri"/>
          <w:sz w:val="14"/>
          <w:szCs w:val="14"/>
        </w:rPr>
      </w:pPr>
    </w:p>
    <w:p w:rsidR="00F03F76" w:rsidRDefault="00F03F76" w:rsidP="000E62A0">
      <w:pPr>
        <w:pStyle w:val="Default"/>
        <w:rPr>
          <w:rFonts w:ascii="Calibri" w:hAnsi="Calibri" w:cs="Calibri"/>
          <w:sz w:val="14"/>
          <w:szCs w:val="14"/>
        </w:rPr>
      </w:pPr>
    </w:p>
    <w:p w:rsidR="00F03F76" w:rsidRDefault="00F03F76" w:rsidP="000E62A0">
      <w:pPr>
        <w:pStyle w:val="Default"/>
        <w:rPr>
          <w:rFonts w:ascii="Calibri" w:hAnsi="Calibri" w:cs="Calibri"/>
          <w:sz w:val="14"/>
          <w:szCs w:val="14"/>
        </w:rPr>
      </w:pPr>
    </w:p>
    <w:p w:rsidR="00F03F76" w:rsidRDefault="00F03F76" w:rsidP="000E62A0">
      <w:pPr>
        <w:pStyle w:val="Default"/>
        <w:pBdr>
          <w:bottom w:val="single" w:sz="6" w:space="1" w:color="auto"/>
        </w:pBdr>
        <w:rPr>
          <w:rFonts w:ascii="Calibri" w:hAnsi="Calibri" w:cs="Calibri"/>
          <w:sz w:val="14"/>
          <w:szCs w:val="14"/>
        </w:rPr>
      </w:pPr>
    </w:p>
    <w:p w:rsidR="00F03F76" w:rsidRDefault="00F03F76" w:rsidP="000E62A0">
      <w:pPr>
        <w:pStyle w:val="Default"/>
        <w:rPr>
          <w:rFonts w:ascii="Calibri" w:hAnsi="Calibri" w:cs="Calibri"/>
          <w:sz w:val="14"/>
          <w:szCs w:val="14"/>
        </w:rPr>
      </w:pPr>
    </w:p>
    <w:p w:rsidR="004832A5" w:rsidRDefault="004832A5" w:rsidP="004832A5">
      <w:pPr>
        <w:pStyle w:val="Default"/>
        <w:rPr>
          <w:rFonts w:ascii="Calibri" w:hAnsi="Calibri" w:cs="Calibri"/>
          <w:sz w:val="18"/>
          <w:szCs w:val="18"/>
        </w:rPr>
      </w:pPr>
      <w:r>
        <w:rPr>
          <w:rFonts w:ascii="Calibri" w:hAnsi="Calibri" w:cs="Calibri"/>
          <w:sz w:val="12"/>
          <w:szCs w:val="12"/>
        </w:rPr>
        <w:t xml:space="preserve">2 </w:t>
      </w:r>
      <w:r>
        <w:rPr>
          <w:rFonts w:ascii="Calibri" w:hAnsi="Calibri" w:cs="Calibri"/>
          <w:sz w:val="18"/>
          <w:szCs w:val="18"/>
        </w:rPr>
        <w:t xml:space="preserve">For example, see the list of references provided by Christopher Kyba, which date as far back as 1970 (note this list is no longer maintained): http://userpage.fu-berlin.de/~kyba/literature/sky_glow.html. </w:t>
      </w:r>
    </w:p>
    <w:p w:rsidR="004832A5" w:rsidRDefault="004832A5" w:rsidP="004832A5">
      <w:pPr>
        <w:pStyle w:val="Default"/>
        <w:rPr>
          <w:rFonts w:ascii="Calibri" w:hAnsi="Calibri" w:cs="Calibri"/>
          <w:sz w:val="18"/>
          <w:szCs w:val="18"/>
        </w:rPr>
      </w:pPr>
      <w:r>
        <w:rPr>
          <w:rFonts w:ascii="Calibri" w:hAnsi="Calibri" w:cs="Calibri"/>
          <w:sz w:val="12"/>
          <w:szCs w:val="12"/>
        </w:rPr>
        <w:t xml:space="preserve">3 </w:t>
      </w:r>
      <w:r>
        <w:rPr>
          <w:rFonts w:ascii="Calibri" w:hAnsi="Calibri" w:cs="Calibri"/>
          <w:sz w:val="18"/>
          <w:szCs w:val="18"/>
        </w:rPr>
        <w:t xml:space="preserve">Dark Skies Awareness: http://www.darkskiesawareness.org/. </w:t>
      </w:r>
    </w:p>
    <w:p w:rsidR="004832A5" w:rsidRDefault="004832A5" w:rsidP="004832A5">
      <w:pPr>
        <w:pStyle w:val="Default"/>
        <w:rPr>
          <w:rFonts w:ascii="Calibri" w:hAnsi="Calibri" w:cs="Calibri"/>
          <w:sz w:val="18"/>
          <w:szCs w:val="18"/>
        </w:rPr>
      </w:pPr>
      <w:r>
        <w:rPr>
          <w:rFonts w:ascii="Calibri" w:hAnsi="Calibri" w:cs="Calibri"/>
          <w:sz w:val="12"/>
          <w:szCs w:val="12"/>
        </w:rPr>
        <w:t xml:space="preserve">4 </w:t>
      </w:r>
      <w:r>
        <w:rPr>
          <w:rFonts w:ascii="Calibri" w:hAnsi="Calibri" w:cs="Calibri"/>
          <w:sz w:val="18"/>
          <w:szCs w:val="18"/>
        </w:rPr>
        <w:t>This study uses different measures of sky brightness (irradiance in W/m</w:t>
      </w:r>
      <w:r>
        <w:rPr>
          <w:rFonts w:ascii="Calibri" w:hAnsi="Calibri" w:cs="Calibri"/>
          <w:sz w:val="12"/>
          <w:szCs w:val="12"/>
        </w:rPr>
        <w:t xml:space="preserve">2 </w:t>
      </w:r>
      <w:r>
        <w:rPr>
          <w:rFonts w:ascii="Calibri" w:hAnsi="Calibri" w:cs="Calibri"/>
          <w:sz w:val="18"/>
          <w:szCs w:val="18"/>
        </w:rPr>
        <w:t>and scotopic illuminance in scotopic-cd/m</w:t>
      </w:r>
      <w:r>
        <w:rPr>
          <w:rFonts w:ascii="Calibri" w:hAnsi="Calibri" w:cs="Calibri"/>
          <w:sz w:val="12"/>
          <w:szCs w:val="12"/>
        </w:rPr>
        <w:t>2</w:t>
      </w:r>
      <w:r>
        <w:rPr>
          <w:rFonts w:ascii="Calibri" w:hAnsi="Calibri" w:cs="Calibri"/>
          <w:sz w:val="18"/>
          <w:szCs w:val="18"/>
        </w:rPr>
        <w:t xml:space="preserve">/sr) reaching an observer’s point of view from the increased sky brightness in all directions, which do not appear in the nomogram. </w:t>
      </w:r>
    </w:p>
    <w:p w:rsidR="004832A5" w:rsidRDefault="004832A5" w:rsidP="000E62A0">
      <w:pPr>
        <w:pStyle w:val="Default"/>
        <w:rPr>
          <w:rFonts w:ascii="Calibri" w:hAnsi="Calibri" w:cs="Calibri"/>
          <w:sz w:val="14"/>
          <w:szCs w:val="14"/>
        </w:rPr>
      </w:pPr>
    </w:p>
    <w:p w:rsidR="000E62A0" w:rsidRDefault="000E62A0" w:rsidP="000E62A0">
      <w:pPr>
        <w:pStyle w:val="Default"/>
        <w:pageBreakBefore/>
        <w:rPr>
          <w:rFonts w:ascii="Calibri" w:hAnsi="Calibri" w:cs="Calibri"/>
          <w:sz w:val="22"/>
          <w:szCs w:val="22"/>
        </w:rPr>
      </w:pPr>
      <w:r>
        <w:rPr>
          <w:rFonts w:ascii="Calibri" w:hAnsi="Calibri" w:cs="Calibri"/>
          <w:sz w:val="22"/>
          <w:szCs w:val="22"/>
        </w:rPr>
        <w:lastRenderedPageBreak/>
        <w:t xml:space="preserve">4 </w:t>
      </w:r>
      <w:r w:rsidRPr="000E62A0">
        <w:rPr>
          <w:rFonts w:ascii="Calibri" w:hAnsi="Calibri" w:cs="Calibri"/>
          <w:noProof/>
          <w:sz w:val="22"/>
          <w:szCs w:val="22"/>
          <w:lang w:eastAsia="it-IT"/>
        </w:rPr>
        <w:drawing>
          <wp:inline distT="0" distB="0" distL="0" distR="0">
            <wp:extent cx="6120130" cy="4251023"/>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251023"/>
                    </a:xfrm>
                    <a:prstGeom prst="rect">
                      <a:avLst/>
                    </a:prstGeom>
                    <a:noFill/>
                    <a:ln>
                      <a:noFill/>
                    </a:ln>
                  </pic:spPr>
                </pic:pic>
              </a:graphicData>
            </a:graphic>
          </wp:inline>
        </w:drawing>
      </w:r>
    </w:p>
    <w:p w:rsidR="000E62A0" w:rsidRDefault="000E62A0" w:rsidP="000E62A0">
      <w:pPr>
        <w:pStyle w:val="Default"/>
        <w:rPr>
          <w:rFonts w:ascii="Calibri" w:hAnsi="Calibri" w:cs="Calibri"/>
          <w:sz w:val="18"/>
          <w:szCs w:val="18"/>
        </w:rPr>
      </w:pPr>
      <w:r>
        <w:rPr>
          <w:rFonts w:ascii="Calibri" w:hAnsi="Calibri" w:cs="Calibri"/>
          <w:b/>
          <w:bCs/>
          <w:sz w:val="18"/>
          <w:szCs w:val="18"/>
        </w:rPr>
        <w:t xml:space="preserve">Figure 1 Night sky brightness comparison nomogram. </w:t>
      </w:r>
      <w:r>
        <w:rPr>
          <w:rFonts w:ascii="Calibri" w:hAnsi="Calibri" w:cs="Calibri"/>
          <w:sz w:val="18"/>
          <w:szCs w:val="18"/>
        </w:rPr>
        <w:t xml:space="preserve">(Source: http://www.darkskiesawareness.org/nomogram.php.) </w:t>
      </w:r>
    </w:p>
    <w:p w:rsidR="00D817D5" w:rsidRDefault="00D817D5" w:rsidP="000E62A0">
      <w:pPr>
        <w:pStyle w:val="Default"/>
        <w:rPr>
          <w:rFonts w:ascii="Calibri" w:hAnsi="Calibri" w:cs="Calibri"/>
          <w:b/>
          <w:bCs/>
          <w:sz w:val="23"/>
          <w:szCs w:val="23"/>
        </w:rPr>
      </w:pPr>
    </w:p>
    <w:p w:rsidR="000E62A0" w:rsidRDefault="000E62A0" w:rsidP="00D817D5">
      <w:pPr>
        <w:pStyle w:val="Titolo2"/>
      </w:pPr>
      <w:r>
        <w:t xml:space="preserve">2.3 Atmospheric scattering </w:t>
      </w:r>
    </w:p>
    <w:p w:rsidR="00D817D5" w:rsidRDefault="006D1C78" w:rsidP="000E62A0">
      <w:pPr>
        <w:pStyle w:val="Default"/>
        <w:rPr>
          <w:rFonts w:ascii="Calibri" w:hAnsi="Calibri" w:cs="Calibri"/>
          <w:sz w:val="22"/>
          <w:szCs w:val="22"/>
        </w:rPr>
      </w:pPr>
      <w:r w:rsidRPr="006D1C78">
        <w:rPr>
          <w:rFonts w:ascii="Calibri" w:hAnsi="Calibri" w:cs="Calibri"/>
          <w:sz w:val="22"/>
          <w:szCs w:val="22"/>
        </w:rPr>
        <w:t xml:space="preserve">La luminosità del cielo è aumentata sia dalla natura (ad esempio la via lattea, la luna, la polvere spaziale) sia dalle sorgenti luminose antropiche, nonché dalla radiazione diretta e dalla riflessione / dispersione dalle molecole d'aria e dagli aerosol </w:t>
      </w:r>
      <w:r>
        <w:rPr>
          <w:rFonts w:ascii="Calibri" w:hAnsi="Calibri" w:cs="Calibri"/>
          <w:sz w:val="22"/>
          <w:szCs w:val="22"/>
        </w:rPr>
        <w:t>diffusi</w:t>
      </w:r>
      <w:r w:rsidRPr="006D1C78">
        <w:rPr>
          <w:rFonts w:ascii="Calibri" w:hAnsi="Calibri" w:cs="Calibri"/>
          <w:sz w:val="22"/>
          <w:szCs w:val="22"/>
        </w:rPr>
        <w:t xml:space="preserve"> all'interno dell'atmosfera. </w:t>
      </w:r>
      <w:r w:rsidRPr="00237030">
        <w:rPr>
          <w:rFonts w:ascii="Calibri" w:hAnsi="Calibri" w:cs="Calibri"/>
          <w:b/>
          <w:sz w:val="22"/>
          <w:szCs w:val="22"/>
        </w:rPr>
        <w:t>La dispersione di Rayleigh avviene quando le lunghezze d'onda visibili incontrano particelle di dimensioni relativamente più piccole (ad esempio, atomi e molecole)</w:t>
      </w:r>
      <w:r w:rsidRPr="006D1C78">
        <w:rPr>
          <w:rFonts w:ascii="Calibri" w:hAnsi="Calibri" w:cs="Calibri"/>
          <w:sz w:val="22"/>
          <w:szCs w:val="22"/>
        </w:rPr>
        <w:t xml:space="preserve">. Tali particelle agiscono come singoli dipoli, dato che l'intensità della radiazione sparsi è identica nelle direzioni opposte (cioè, avanti e indietro). La luce è dispersa diffusamente secondo una relazione matematica tra la dimensione delle particelle e la lunghezza d'onda, rendendo la </w:t>
      </w:r>
      <w:r>
        <w:rPr>
          <w:rFonts w:ascii="Calibri" w:hAnsi="Calibri" w:cs="Calibri"/>
          <w:sz w:val="22"/>
          <w:szCs w:val="22"/>
        </w:rPr>
        <w:t xml:space="preserve">diffusione </w:t>
      </w:r>
      <w:r w:rsidRPr="006D1C78">
        <w:rPr>
          <w:rFonts w:ascii="Calibri" w:hAnsi="Calibri" w:cs="Calibri"/>
          <w:sz w:val="22"/>
          <w:szCs w:val="22"/>
        </w:rPr>
        <w:t>spettrale</w:t>
      </w:r>
      <w:r>
        <w:rPr>
          <w:rFonts w:ascii="Calibri" w:hAnsi="Calibri" w:cs="Calibri"/>
          <w:sz w:val="22"/>
          <w:szCs w:val="22"/>
        </w:rPr>
        <w:t xml:space="preserve"> di </w:t>
      </w:r>
      <w:r w:rsidRPr="006D1C78">
        <w:rPr>
          <w:rFonts w:ascii="Calibri" w:hAnsi="Calibri" w:cs="Calibri"/>
          <w:sz w:val="22"/>
          <w:szCs w:val="22"/>
        </w:rPr>
        <w:t xml:space="preserve">Rayleigh dipendente dalla lunghezza d'onda. Le molecole di azoto e di ossigeno che costituiscono </w:t>
      </w:r>
      <w:r>
        <w:rPr>
          <w:rFonts w:ascii="Calibri" w:hAnsi="Calibri" w:cs="Calibri"/>
          <w:sz w:val="22"/>
          <w:szCs w:val="22"/>
        </w:rPr>
        <w:t xml:space="preserve">prevalentemente </w:t>
      </w:r>
      <w:r w:rsidRPr="006D1C78">
        <w:rPr>
          <w:rFonts w:ascii="Calibri" w:hAnsi="Calibri" w:cs="Calibri"/>
          <w:sz w:val="22"/>
          <w:szCs w:val="22"/>
        </w:rPr>
        <w:t xml:space="preserve">la nostra atmosfera sono di dimensioni che sono più rilevanti per l'estremità blu dello spettro visibile, e quindi sono responsabili dell'aspetto blu del nostro cielo. </w:t>
      </w:r>
      <w:r w:rsidR="009220A5" w:rsidRPr="009220A5">
        <w:rPr>
          <w:rFonts w:ascii="Calibri" w:hAnsi="Calibri" w:cs="Calibri"/>
          <w:sz w:val="22"/>
          <w:szCs w:val="22"/>
          <w:vertAlign w:val="superscript"/>
        </w:rPr>
        <w:t>5</w:t>
      </w:r>
      <w:r w:rsidR="009220A5">
        <w:rPr>
          <w:rFonts w:ascii="Calibri" w:hAnsi="Calibri" w:cs="Calibri"/>
          <w:sz w:val="22"/>
          <w:szCs w:val="22"/>
        </w:rPr>
        <w:t xml:space="preserve"> </w:t>
      </w:r>
      <w:r w:rsidRPr="006D1C78">
        <w:rPr>
          <w:rFonts w:ascii="Calibri" w:hAnsi="Calibri" w:cs="Calibri"/>
          <w:sz w:val="22"/>
          <w:szCs w:val="22"/>
        </w:rPr>
        <w:t>Questa stessa relazione si applica alla luce prodotta da fonti elettriche.</w:t>
      </w:r>
    </w:p>
    <w:p w:rsidR="00237030" w:rsidRDefault="00237030" w:rsidP="000E62A0">
      <w:pPr>
        <w:pStyle w:val="Default"/>
        <w:rPr>
          <w:rFonts w:ascii="Calibri" w:hAnsi="Calibri" w:cs="Calibri"/>
          <w:sz w:val="22"/>
          <w:szCs w:val="22"/>
        </w:rPr>
      </w:pPr>
    </w:p>
    <w:p w:rsidR="00237030" w:rsidRDefault="00237030" w:rsidP="000E62A0">
      <w:pPr>
        <w:pStyle w:val="Default"/>
        <w:rPr>
          <w:rFonts w:ascii="Calibri" w:hAnsi="Calibri" w:cs="Calibri"/>
          <w:sz w:val="22"/>
          <w:szCs w:val="22"/>
        </w:rPr>
      </w:pPr>
      <w:r w:rsidRPr="009220A5">
        <w:rPr>
          <w:rFonts w:ascii="Calibri" w:hAnsi="Calibri" w:cs="Calibri"/>
          <w:b/>
          <w:sz w:val="22"/>
          <w:szCs w:val="22"/>
        </w:rPr>
        <w:t>Al contrario, la dispersione di Mie avviene quando la dimensione delle particelle è simile o maggiore della lunghezza d'onda, come si applica agli aerosol (ad esempio, gocce d'acqua, polvere, smog, sale).</w:t>
      </w:r>
      <w:r w:rsidRPr="00237030">
        <w:rPr>
          <w:rFonts w:ascii="Calibri" w:hAnsi="Calibri" w:cs="Calibri"/>
          <w:sz w:val="22"/>
          <w:szCs w:val="22"/>
        </w:rPr>
        <w:t xml:space="preserve"> Mentre aumenta il contenuto di aerosol atmosferici, aumenta anche la quantità di dispersione, ma diminuisce la dipendenza della lunghezza d'onda del bagliore del cielo risultante. </w:t>
      </w:r>
      <w:r w:rsidRPr="009220A5">
        <w:rPr>
          <w:rFonts w:ascii="Calibri" w:hAnsi="Calibri" w:cs="Calibri"/>
          <w:b/>
          <w:sz w:val="22"/>
          <w:szCs w:val="22"/>
        </w:rPr>
        <w:t>La dispersione di Mie si verifica più uniformemente attraverso lo spettro visibile (dando alle nuvole il loro caratteristico colore bianco)</w:t>
      </w:r>
      <w:r w:rsidRPr="00237030">
        <w:rPr>
          <w:rFonts w:ascii="Calibri" w:hAnsi="Calibri" w:cs="Calibri"/>
          <w:sz w:val="22"/>
          <w:szCs w:val="22"/>
        </w:rPr>
        <w:t xml:space="preserve"> e presenta una significativa oscillazione in avanti. Il backscatter è ancor più soppresso se le particelle diventano irregolari. </w:t>
      </w:r>
      <w:r w:rsidR="009220A5" w:rsidRPr="009220A5">
        <w:rPr>
          <w:rFonts w:ascii="Calibri" w:hAnsi="Calibri" w:cs="Calibri"/>
          <w:sz w:val="22"/>
          <w:szCs w:val="22"/>
        </w:rPr>
        <w:t>Il contributo di dispersione Mie alla luce del cielo è più grande per la luce proiettata in angoli vicino all'orizzonte, dove la piccola scomparsa di particelle avanza la luce verso terra.</w:t>
      </w:r>
      <w:r w:rsidR="009220A5">
        <w:rPr>
          <w:rFonts w:ascii="Calibri" w:hAnsi="Calibri" w:cs="Calibri"/>
          <w:sz w:val="22"/>
          <w:szCs w:val="22"/>
        </w:rPr>
        <w:t xml:space="preserve"> </w:t>
      </w:r>
      <w:r w:rsidR="009220A5" w:rsidRPr="009220A5">
        <w:rPr>
          <w:rFonts w:ascii="Calibri" w:hAnsi="Calibri" w:cs="Calibri"/>
          <w:sz w:val="22"/>
          <w:szCs w:val="22"/>
          <w:vertAlign w:val="superscript"/>
        </w:rPr>
        <w:t>6</w:t>
      </w:r>
    </w:p>
    <w:p w:rsidR="00237030" w:rsidRDefault="00237030" w:rsidP="000E62A0">
      <w:pPr>
        <w:pStyle w:val="Default"/>
        <w:rPr>
          <w:rFonts w:ascii="Calibri" w:hAnsi="Calibri" w:cs="Calibri"/>
          <w:sz w:val="22"/>
          <w:szCs w:val="22"/>
        </w:rPr>
      </w:pPr>
    </w:p>
    <w:p w:rsidR="00237030" w:rsidRDefault="00237030" w:rsidP="000E62A0">
      <w:pPr>
        <w:pStyle w:val="Default"/>
        <w:rPr>
          <w:rFonts w:ascii="Calibri" w:hAnsi="Calibri" w:cs="Calibri"/>
          <w:sz w:val="22"/>
          <w:szCs w:val="22"/>
        </w:rPr>
      </w:pPr>
    </w:p>
    <w:p w:rsidR="006D1C78" w:rsidRDefault="006D1C78" w:rsidP="000E62A0">
      <w:pPr>
        <w:pStyle w:val="Default"/>
        <w:rPr>
          <w:rFonts w:ascii="Calibri" w:hAnsi="Calibri" w:cs="Calibri"/>
          <w:sz w:val="22"/>
          <w:szCs w:val="22"/>
        </w:rPr>
      </w:pPr>
    </w:p>
    <w:p w:rsidR="006D1C78" w:rsidRDefault="006D1C78" w:rsidP="000E62A0">
      <w:pPr>
        <w:pStyle w:val="Default"/>
        <w:pBdr>
          <w:bottom w:val="single" w:sz="6" w:space="1" w:color="auto"/>
        </w:pBdr>
        <w:rPr>
          <w:rFonts w:ascii="Calibri" w:hAnsi="Calibri" w:cs="Calibri"/>
          <w:sz w:val="22"/>
          <w:szCs w:val="22"/>
        </w:rPr>
      </w:pPr>
    </w:p>
    <w:p w:rsidR="000E62A0" w:rsidRDefault="000E62A0" w:rsidP="000E62A0">
      <w:pPr>
        <w:pStyle w:val="Default"/>
        <w:rPr>
          <w:rFonts w:ascii="Calibri" w:hAnsi="Calibri" w:cs="Calibri"/>
          <w:i/>
          <w:sz w:val="18"/>
          <w:szCs w:val="18"/>
        </w:rPr>
      </w:pPr>
      <w:r>
        <w:rPr>
          <w:rFonts w:ascii="Calibri" w:hAnsi="Calibri" w:cs="Calibri"/>
          <w:sz w:val="12"/>
          <w:szCs w:val="12"/>
        </w:rPr>
        <w:t xml:space="preserve">5 </w:t>
      </w:r>
      <w:r w:rsidR="009220A5" w:rsidRPr="009220A5">
        <w:rPr>
          <w:rFonts w:ascii="Calibri" w:hAnsi="Calibri" w:cs="Calibri"/>
          <w:i/>
          <w:sz w:val="18"/>
          <w:szCs w:val="18"/>
        </w:rPr>
        <w:t xml:space="preserve">La dispersione di Rayleigh per lunghezze d'onda a 400 nm è 9,4 volte maggiore di quella a 700 nm per un'intensità di incidenza uguale. Vedi: http://hyperphysics.phy-astr.gsu.edu/hbase/atmos/blusky.html. Inoltre, la nostra percezione del cielo come "azzurro" è più un risultato della sensibilità della retina umana rispetto al contenuto reale del cielo. Se i nostri occhi </w:t>
      </w:r>
      <w:r w:rsidR="009220A5">
        <w:rPr>
          <w:rFonts w:ascii="Calibri" w:hAnsi="Calibri" w:cs="Calibri"/>
          <w:i/>
          <w:sz w:val="18"/>
          <w:szCs w:val="18"/>
        </w:rPr>
        <w:t xml:space="preserve">fossero </w:t>
      </w:r>
      <w:r w:rsidR="009220A5" w:rsidRPr="009220A5">
        <w:rPr>
          <w:rFonts w:ascii="Calibri" w:hAnsi="Calibri" w:cs="Calibri"/>
          <w:i/>
          <w:sz w:val="18"/>
          <w:szCs w:val="18"/>
        </w:rPr>
        <w:t xml:space="preserve">sufficientemente sensibili alle lunghezze d'onda corrispondenti, il cielo </w:t>
      </w:r>
      <w:r w:rsidR="009220A5">
        <w:rPr>
          <w:rFonts w:ascii="Calibri" w:hAnsi="Calibri" w:cs="Calibri"/>
          <w:i/>
          <w:sz w:val="18"/>
          <w:szCs w:val="18"/>
        </w:rPr>
        <w:t>apparirebbe</w:t>
      </w:r>
      <w:r w:rsidR="009220A5" w:rsidRPr="009220A5">
        <w:rPr>
          <w:rFonts w:ascii="Calibri" w:hAnsi="Calibri" w:cs="Calibri"/>
          <w:i/>
          <w:sz w:val="18"/>
          <w:szCs w:val="18"/>
        </w:rPr>
        <w:t xml:space="preserve"> invece violetto. Vedi: </w:t>
      </w:r>
      <w:hyperlink r:id="rId14" w:history="1">
        <w:r w:rsidR="009220A5" w:rsidRPr="00CA17E0">
          <w:rPr>
            <w:rStyle w:val="Collegamentoipertestuale"/>
            <w:rFonts w:ascii="Calibri" w:hAnsi="Calibri" w:cs="Calibri"/>
            <w:i/>
            <w:sz w:val="18"/>
            <w:szCs w:val="18"/>
          </w:rPr>
          <w:t>http://www.spc.noaa.gov/publications/corfidi/sunset</w:t>
        </w:r>
      </w:hyperlink>
    </w:p>
    <w:p w:rsidR="00EE1619" w:rsidRDefault="00D56039" w:rsidP="000E62A0">
      <w:pPr>
        <w:pStyle w:val="Default"/>
        <w:rPr>
          <w:rFonts w:ascii="Calibri" w:hAnsi="Calibri" w:cs="Calibri"/>
          <w:sz w:val="22"/>
          <w:szCs w:val="22"/>
        </w:rPr>
      </w:pPr>
      <w:r w:rsidRPr="00682305">
        <w:rPr>
          <w:rFonts w:ascii="Calibri" w:hAnsi="Calibri" w:cs="Calibri"/>
          <w:noProof/>
          <w:sz w:val="22"/>
          <w:szCs w:val="22"/>
          <w:lang w:eastAsia="it-IT"/>
        </w:rPr>
        <w:lastRenderedPageBreak/>
        <w:drawing>
          <wp:anchor distT="0" distB="0" distL="114300" distR="114300" simplePos="0" relativeHeight="251658240" behindDoc="0" locked="0" layoutInCell="1" allowOverlap="1">
            <wp:simplePos x="0" y="0"/>
            <wp:positionH relativeFrom="column">
              <wp:posOffset>3200060</wp:posOffset>
            </wp:positionH>
            <wp:positionV relativeFrom="paragraph">
              <wp:posOffset>-447</wp:posOffset>
            </wp:positionV>
            <wp:extent cx="3150235" cy="4747895"/>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0235" cy="474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619" w:rsidRPr="00EE1619">
        <w:rPr>
          <w:rFonts w:ascii="Calibri" w:hAnsi="Calibri" w:cs="Calibri"/>
          <w:sz w:val="22"/>
          <w:szCs w:val="22"/>
        </w:rPr>
        <w:t xml:space="preserve">La luce elettrica </w:t>
      </w:r>
      <w:r w:rsidR="00EE1619">
        <w:rPr>
          <w:rFonts w:ascii="Calibri" w:hAnsi="Calibri" w:cs="Calibri"/>
          <w:sz w:val="22"/>
          <w:szCs w:val="22"/>
        </w:rPr>
        <w:t xml:space="preserve">si diffonde </w:t>
      </w:r>
      <w:r w:rsidR="00EE1619" w:rsidRPr="00EE1619">
        <w:rPr>
          <w:rFonts w:ascii="Calibri" w:hAnsi="Calibri" w:cs="Calibri"/>
          <w:sz w:val="22"/>
          <w:szCs w:val="22"/>
        </w:rPr>
        <w:t>nell'atmosfera attraverso emission</w:t>
      </w:r>
      <w:r w:rsidR="00EE1619">
        <w:rPr>
          <w:rFonts w:ascii="Calibri" w:hAnsi="Calibri" w:cs="Calibri"/>
          <w:sz w:val="22"/>
          <w:szCs w:val="22"/>
        </w:rPr>
        <w:t>e</w:t>
      </w:r>
      <w:r w:rsidR="00EE1619" w:rsidRPr="00EE1619">
        <w:rPr>
          <w:rFonts w:ascii="Calibri" w:hAnsi="Calibri" w:cs="Calibri"/>
          <w:sz w:val="22"/>
          <w:szCs w:val="22"/>
        </w:rPr>
        <w:t xml:space="preserve"> dirett</w:t>
      </w:r>
      <w:r w:rsidR="00EE1619">
        <w:rPr>
          <w:rFonts w:ascii="Calibri" w:hAnsi="Calibri" w:cs="Calibri"/>
          <w:sz w:val="22"/>
          <w:szCs w:val="22"/>
        </w:rPr>
        <w:t>a</w:t>
      </w:r>
      <w:r w:rsidR="00EE1619" w:rsidRPr="00EE1619">
        <w:rPr>
          <w:rFonts w:ascii="Calibri" w:hAnsi="Calibri" w:cs="Calibri"/>
          <w:sz w:val="22"/>
          <w:szCs w:val="22"/>
        </w:rPr>
        <w:t xml:space="preserve">, dispersione e riflessione. Molti illuminatori esterni moderni limitano ora tutte le emissioni di luce al di sotto del piano orizzontale (attraverso il </w:t>
      </w:r>
      <w:r w:rsidR="00EE1619">
        <w:rPr>
          <w:rFonts w:ascii="Calibri" w:hAnsi="Calibri" w:cs="Calibri"/>
          <w:sz w:val="22"/>
          <w:szCs w:val="22"/>
        </w:rPr>
        <w:t>progetto</w:t>
      </w:r>
      <w:r w:rsidR="00EE1619" w:rsidRPr="00EE1619">
        <w:rPr>
          <w:rFonts w:ascii="Calibri" w:hAnsi="Calibri" w:cs="Calibri"/>
          <w:sz w:val="22"/>
          <w:szCs w:val="22"/>
        </w:rPr>
        <w:t xml:space="preserve"> d</w:t>
      </w:r>
      <w:r w:rsidR="00EE1619">
        <w:rPr>
          <w:rFonts w:ascii="Calibri" w:hAnsi="Calibri" w:cs="Calibri"/>
          <w:sz w:val="22"/>
          <w:szCs w:val="22"/>
        </w:rPr>
        <w:t>ell'</w:t>
      </w:r>
      <w:r>
        <w:rPr>
          <w:rFonts w:ascii="Calibri" w:hAnsi="Calibri" w:cs="Calibri"/>
          <w:sz w:val="22"/>
          <w:szCs w:val="22"/>
        </w:rPr>
        <w:t>impiant</w:t>
      </w:r>
      <w:r w:rsidR="00EE1619">
        <w:rPr>
          <w:rFonts w:ascii="Calibri" w:hAnsi="Calibri" w:cs="Calibri"/>
          <w:sz w:val="22"/>
          <w:szCs w:val="22"/>
        </w:rPr>
        <w:t>o), in modo che la componente primaria</w:t>
      </w:r>
      <w:r w:rsidR="00EE1619" w:rsidRPr="00EE1619">
        <w:rPr>
          <w:rFonts w:ascii="Calibri" w:hAnsi="Calibri" w:cs="Calibri"/>
          <w:sz w:val="22"/>
          <w:szCs w:val="22"/>
        </w:rPr>
        <w:t xml:space="preserve"> </w:t>
      </w:r>
      <w:r w:rsidR="00EE1619">
        <w:rPr>
          <w:rFonts w:ascii="Calibri" w:hAnsi="Calibri" w:cs="Calibri"/>
          <w:sz w:val="22"/>
          <w:szCs w:val="22"/>
        </w:rPr>
        <w:t xml:space="preserve">verso l’alto </w:t>
      </w:r>
      <w:r w:rsidR="00EE1619" w:rsidRPr="00EE1619">
        <w:rPr>
          <w:rFonts w:ascii="Calibri" w:hAnsi="Calibri" w:cs="Calibri"/>
          <w:sz w:val="22"/>
          <w:szCs w:val="22"/>
        </w:rPr>
        <w:t>della luce dell'</w:t>
      </w:r>
      <w:r>
        <w:rPr>
          <w:rFonts w:ascii="Calibri" w:hAnsi="Calibri" w:cs="Calibri"/>
          <w:sz w:val="22"/>
          <w:szCs w:val="22"/>
        </w:rPr>
        <w:t>impiant</w:t>
      </w:r>
      <w:r w:rsidR="00EE1619" w:rsidRPr="00EE1619">
        <w:rPr>
          <w:rFonts w:ascii="Calibri" w:hAnsi="Calibri" w:cs="Calibri"/>
          <w:sz w:val="22"/>
          <w:szCs w:val="22"/>
        </w:rPr>
        <w:t>o si traduce in riflessi a terra. I valori di riflessione variano in base al tipo di copertura del suolo, ma i valori medi utilizzati in media sono compresi tra il 12 e il 15% .</w:t>
      </w:r>
      <w:r w:rsidR="00EE1619" w:rsidRPr="00EE1619">
        <w:rPr>
          <w:rFonts w:ascii="Calibri" w:hAnsi="Calibri" w:cs="Calibri"/>
          <w:sz w:val="22"/>
          <w:szCs w:val="22"/>
          <w:vertAlign w:val="superscript"/>
        </w:rPr>
        <w:t>7,8</w:t>
      </w:r>
      <w:r w:rsidR="00EE1619" w:rsidRPr="00EE1619">
        <w:rPr>
          <w:rFonts w:ascii="Calibri" w:hAnsi="Calibri" w:cs="Calibri"/>
          <w:sz w:val="22"/>
          <w:szCs w:val="22"/>
        </w:rPr>
        <w:t xml:space="preserve"> Gli </w:t>
      </w:r>
      <w:r>
        <w:rPr>
          <w:rFonts w:ascii="Calibri" w:hAnsi="Calibri" w:cs="Calibri"/>
          <w:sz w:val="22"/>
          <w:szCs w:val="22"/>
        </w:rPr>
        <w:t>impianti</w:t>
      </w:r>
      <w:r w:rsidR="00EE1619" w:rsidRPr="00EE1619">
        <w:rPr>
          <w:rFonts w:ascii="Calibri" w:hAnsi="Calibri" w:cs="Calibri"/>
          <w:sz w:val="22"/>
          <w:szCs w:val="22"/>
        </w:rPr>
        <w:t xml:space="preserve"> di illuminazione esterna che più comunemente causano emission</w:t>
      </w:r>
      <w:r w:rsidR="00EE1619">
        <w:rPr>
          <w:rFonts w:ascii="Calibri" w:hAnsi="Calibri" w:cs="Calibri"/>
          <w:sz w:val="22"/>
          <w:szCs w:val="22"/>
        </w:rPr>
        <w:t>i dirette verso il cielo sono i</w:t>
      </w:r>
      <w:r w:rsidR="00EE1619" w:rsidRPr="00EE1619">
        <w:rPr>
          <w:rFonts w:ascii="Calibri" w:hAnsi="Calibri" w:cs="Calibri"/>
          <w:sz w:val="22"/>
          <w:szCs w:val="22"/>
        </w:rPr>
        <w:t xml:space="preserve"> seguenti:</w:t>
      </w:r>
    </w:p>
    <w:p w:rsidR="00EE1619" w:rsidRDefault="00DB7B02" w:rsidP="00682305">
      <w:pPr>
        <w:pStyle w:val="Default"/>
        <w:numPr>
          <w:ilvl w:val="0"/>
          <w:numId w:val="5"/>
        </w:numPr>
        <w:rPr>
          <w:rFonts w:ascii="Calibri" w:hAnsi="Calibri" w:cs="Calibri"/>
          <w:sz w:val="22"/>
          <w:szCs w:val="22"/>
        </w:rPr>
      </w:pPr>
      <w:r>
        <w:rPr>
          <w:noProof/>
          <w:lang w:eastAsia="it-IT"/>
        </w:rPr>
        <mc:AlternateContent>
          <mc:Choice Requires="wps">
            <w:drawing>
              <wp:anchor distT="0" distB="0" distL="114300" distR="114300" simplePos="0" relativeHeight="251660288" behindDoc="0" locked="0" layoutInCell="1" allowOverlap="1" wp14:anchorId="4343E99F" wp14:editId="1F6662F0">
                <wp:simplePos x="0" y="0"/>
                <wp:positionH relativeFrom="column">
                  <wp:posOffset>4164904</wp:posOffset>
                </wp:positionH>
                <wp:positionV relativeFrom="paragraph">
                  <wp:posOffset>3755694</wp:posOffset>
                </wp:positionV>
                <wp:extent cx="2519680" cy="141605"/>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519680" cy="141605"/>
                        </a:xfrm>
                        <a:prstGeom prst="rect">
                          <a:avLst/>
                        </a:prstGeom>
                        <a:solidFill>
                          <a:prstClr val="white"/>
                        </a:solidFill>
                        <a:ln>
                          <a:noFill/>
                        </a:ln>
                      </wps:spPr>
                      <wps:txbx>
                        <w:txbxContent>
                          <w:p w:rsidR="000A182B" w:rsidRPr="00515095" w:rsidRDefault="000A182B" w:rsidP="00DB7B02">
                            <w:pPr>
                              <w:pStyle w:val="Didascalia"/>
                              <w:jc w:val="center"/>
                              <w:rPr>
                                <w:rFonts w:ascii="Calibri" w:hAnsi="Calibri" w:cs="Calibri"/>
                                <w:noProof/>
                                <w:color w:val="000000"/>
                              </w:rPr>
                            </w:pPr>
                            <w:r>
                              <w:t xml:space="preserve">Figura </w:t>
                            </w:r>
                            <w:r>
                              <w:fldChar w:fldCharType="begin"/>
                            </w:r>
                            <w:r>
                              <w:instrText xml:space="preserve"> REF _Ref493764609 \r </w:instrText>
                            </w:r>
                            <w:r>
                              <w:fldChar w:fldCharType="separate"/>
                            </w:r>
                            <w:r>
                              <w:t>2</w:t>
                            </w:r>
                            <w:r>
                              <w:fldChar w:fldCharType="end"/>
                            </w:r>
                            <w:r>
                              <w:t xml:space="preserve"> Impianti a Globo</w:t>
                            </w:r>
                          </w:p>
                          <w:p w:rsidR="000A182B" w:rsidRPr="00515095" w:rsidRDefault="000A182B" w:rsidP="0012517C">
                            <w:pPr>
                              <w:pStyle w:val="Didascalia"/>
                              <w:jc w:val="center"/>
                              <w:rPr>
                                <w:rFonts w:ascii="Calibri" w:hAnsi="Calibri" w:cs="Calibri"/>
                                <w:noProof/>
                                <w:color w:val="00000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43E99F" id="_x0000_t202" coordsize="21600,21600" o:spt="202" path="m,l,21600r21600,l21600,xe">
                <v:stroke joinstyle="miter"/>
                <v:path gradientshapeok="t" o:connecttype="rect"/>
              </v:shapetype>
              <v:shape id="Casella di testo 5" o:spid="_x0000_s1026" type="#_x0000_t202" style="position:absolute;left:0;text-align:left;margin-left:327.95pt;margin-top:295.7pt;width:198.4pt;height:11.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" stroked="f">
                <v:textbox inset="0,0,0,0">
                  <w:txbxContent>
                    <w:p w:rsidR="000A182B" w:rsidRPr="00515095" w:rsidRDefault="000A182B" w:rsidP="00DB7B02">
                      <w:pPr>
                        <w:pStyle w:val="Didascalia"/>
                        <w:jc w:val="center"/>
                        <w:rPr>
                          <w:rFonts w:ascii="Calibri" w:hAnsi="Calibri" w:cs="Calibri"/>
                          <w:noProof/>
                          <w:color w:val="000000"/>
                        </w:rPr>
                      </w:pPr>
                      <w:r>
                        <w:t xml:space="preserve">Figura </w:t>
                      </w:r>
                      <w:r>
                        <w:fldChar w:fldCharType="begin"/>
                      </w:r>
                      <w:r>
                        <w:instrText xml:space="preserve"> REF _Ref493764609 \r </w:instrText>
                      </w:r>
                      <w:r>
                        <w:fldChar w:fldCharType="separate"/>
                      </w:r>
                      <w:r>
                        <w:t>2</w:t>
                      </w:r>
                      <w:r>
                        <w:fldChar w:fldCharType="end"/>
                      </w:r>
                      <w:r>
                        <w:t xml:space="preserve"> Impianti a Globo</w:t>
                      </w:r>
                    </w:p>
                    <w:p w:rsidR="000A182B" w:rsidRPr="00515095" w:rsidRDefault="000A182B" w:rsidP="0012517C">
                      <w:pPr>
                        <w:pStyle w:val="Didascalia"/>
                        <w:jc w:val="center"/>
                        <w:rPr>
                          <w:rFonts w:ascii="Calibri" w:hAnsi="Calibri" w:cs="Calibri"/>
                          <w:noProof/>
                          <w:color w:val="000000"/>
                        </w:rPr>
                      </w:pPr>
                    </w:p>
                  </w:txbxContent>
                </v:textbox>
                <w10:wrap type="square"/>
              </v:shape>
            </w:pict>
          </mc:Fallback>
        </mc:AlternateContent>
      </w:r>
      <w:r w:rsidR="00682305" w:rsidRPr="00682305">
        <w:rPr>
          <w:rFonts w:ascii="Calibri" w:hAnsi="Calibri" w:cs="Calibri"/>
          <w:sz w:val="22"/>
          <w:szCs w:val="22"/>
        </w:rPr>
        <w:t xml:space="preserve"> </w:t>
      </w:r>
      <w:r w:rsidR="00D56039">
        <w:rPr>
          <w:rFonts w:ascii="Calibri" w:hAnsi="Calibri" w:cs="Calibri"/>
          <w:sz w:val="22"/>
          <w:szCs w:val="22"/>
        </w:rPr>
        <w:t>Impianti</w:t>
      </w:r>
      <w:r w:rsidR="00EE1619" w:rsidRPr="00EE1619">
        <w:rPr>
          <w:rFonts w:ascii="Calibri" w:hAnsi="Calibri" w:cs="Calibri"/>
          <w:sz w:val="22"/>
          <w:szCs w:val="22"/>
        </w:rPr>
        <w:t xml:space="preserve"> tradizionali a lenti a goccia progettat</w:t>
      </w:r>
      <w:r w:rsidR="00EE1619">
        <w:rPr>
          <w:rFonts w:ascii="Calibri" w:hAnsi="Calibri" w:cs="Calibri"/>
          <w:sz w:val="22"/>
          <w:szCs w:val="22"/>
        </w:rPr>
        <w:t>i</w:t>
      </w:r>
      <w:r w:rsidR="00EE1619" w:rsidRPr="00EE1619">
        <w:rPr>
          <w:rFonts w:ascii="Calibri" w:hAnsi="Calibri" w:cs="Calibri"/>
          <w:sz w:val="22"/>
          <w:szCs w:val="22"/>
        </w:rPr>
        <w:t xml:space="preserve"> per distribuire la luce ad angoli elevati per una portata estesa (molti o la maggior parte </w:t>
      </w:r>
      <w:r w:rsidR="00EE1619">
        <w:rPr>
          <w:rFonts w:ascii="Calibri" w:hAnsi="Calibri" w:cs="Calibri"/>
          <w:sz w:val="22"/>
          <w:szCs w:val="22"/>
        </w:rPr>
        <w:t>sono gradualmente eliminati da</w:t>
      </w:r>
      <w:r w:rsidR="00EE1619" w:rsidRPr="00EE1619">
        <w:rPr>
          <w:rFonts w:ascii="Calibri" w:hAnsi="Calibri" w:cs="Calibri"/>
          <w:sz w:val="22"/>
          <w:szCs w:val="22"/>
        </w:rPr>
        <w:t xml:space="preserve"> ordinanze statali o locali e da pratiche di illuminazione altrimenti aggiornate)</w:t>
      </w:r>
    </w:p>
    <w:p w:rsidR="00EE1619" w:rsidRDefault="00D56039" w:rsidP="00EE1619">
      <w:pPr>
        <w:pStyle w:val="Default"/>
        <w:numPr>
          <w:ilvl w:val="0"/>
          <w:numId w:val="5"/>
        </w:numPr>
        <w:rPr>
          <w:rFonts w:ascii="Calibri" w:hAnsi="Calibri" w:cs="Calibri"/>
          <w:sz w:val="22"/>
          <w:szCs w:val="22"/>
        </w:rPr>
      </w:pPr>
      <w:r>
        <w:rPr>
          <w:rFonts w:ascii="Calibri" w:hAnsi="Calibri" w:cs="Calibri"/>
          <w:sz w:val="22"/>
          <w:szCs w:val="22"/>
        </w:rPr>
        <w:t>Impianti</w:t>
      </w:r>
      <w:r w:rsidR="00EE1619" w:rsidRPr="00EE1619">
        <w:rPr>
          <w:rFonts w:ascii="Calibri" w:hAnsi="Calibri" w:cs="Calibri"/>
          <w:sz w:val="22"/>
          <w:szCs w:val="22"/>
        </w:rPr>
        <w:t xml:space="preserve"> </w:t>
      </w:r>
      <w:r w:rsidR="00EE1619">
        <w:rPr>
          <w:rFonts w:ascii="Calibri" w:hAnsi="Calibri" w:cs="Calibri"/>
          <w:sz w:val="22"/>
          <w:szCs w:val="22"/>
        </w:rPr>
        <w:t>diretti verso il</w:t>
      </w:r>
      <w:r w:rsidR="00EE1619" w:rsidRPr="00EE1619">
        <w:rPr>
          <w:rFonts w:ascii="Calibri" w:hAnsi="Calibri" w:cs="Calibri"/>
          <w:sz w:val="22"/>
          <w:szCs w:val="22"/>
        </w:rPr>
        <w:t xml:space="preserve"> cielo (ad esempio, illuminazione architettonica, segnaletica pubblicitaria e dispositivi angolati come </w:t>
      </w:r>
      <w:r w:rsidR="00EE1619">
        <w:rPr>
          <w:rFonts w:ascii="Calibri" w:hAnsi="Calibri" w:cs="Calibri"/>
          <w:sz w:val="22"/>
          <w:szCs w:val="22"/>
        </w:rPr>
        <w:t xml:space="preserve">luci </w:t>
      </w:r>
      <w:r w:rsidR="00EE1619" w:rsidRPr="00EE1619">
        <w:rPr>
          <w:rFonts w:ascii="Calibri" w:hAnsi="Calibri" w:cs="Calibri"/>
          <w:sz w:val="22"/>
          <w:szCs w:val="22"/>
        </w:rPr>
        <w:t>spot e illuminazione sportiva)</w:t>
      </w:r>
    </w:p>
    <w:p w:rsidR="009220A5" w:rsidRDefault="00EE1619" w:rsidP="00EE1619">
      <w:pPr>
        <w:pStyle w:val="Default"/>
        <w:numPr>
          <w:ilvl w:val="0"/>
          <w:numId w:val="5"/>
        </w:numPr>
        <w:rPr>
          <w:rFonts w:ascii="Calibri" w:hAnsi="Calibri" w:cs="Calibri"/>
          <w:sz w:val="22"/>
          <w:szCs w:val="22"/>
        </w:rPr>
      </w:pPr>
      <w:r w:rsidRPr="00EE1619">
        <w:rPr>
          <w:rFonts w:ascii="Calibri" w:hAnsi="Calibri" w:cs="Calibri"/>
          <w:sz w:val="22"/>
          <w:szCs w:val="22"/>
        </w:rPr>
        <w:t>Elementi</w:t>
      </w:r>
      <w:r>
        <w:rPr>
          <w:rFonts w:ascii="Calibri" w:hAnsi="Calibri" w:cs="Calibri"/>
          <w:sz w:val="22"/>
          <w:szCs w:val="22"/>
        </w:rPr>
        <w:t xml:space="preserve"> decorativi a forma di ghianda</w:t>
      </w:r>
      <w:r w:rsidRPr="00EE1619">
        <w:rPr>
          <w:rFonts w:ascii="Calibri" w:hAnsi="Calibri" w:cs="Calibri"/>
          <w:sz w:val="22"/>
          <w:szCs w:val="22"/>
        </w:rPr>
        <w:t xml:space="preserve"> o </w:t>
      </w:r>
      <w:r w:rsidR="00682305">
        <w:rPr>
          <w:rFonts w:ascii="Calibri" w:hAnsi="Calibri" w:cs="Calibri"/>
          <w:sz w:val="22"/>
          <w:szCs w:val="22"/>
        </w:rPr>
        <w:t xml:space="preserve">come unità poste in alto a forma di </w:t>
      </w:r>
      <w:r w:rsidRPr="00EE1619">
        <w:rPr>
          <w:rFonts w:ascii="Calibri" w:hAnsi="Calibri" w:cs="Calibri"/>
          <w:sz w:val="22"/>
          <w:szCs w:val="22"/>
        </w:rPr>
        <w:t>globo, spesso presenti nei quartieri storici (vedi figura 2)</w:t>
      </w:r>
    </w:p>
    <w:p w:rsidR="00682305" w:rsidRDefault="00682305" w:rsidP="00682305">
      <w:pPr>
        <w:pStyle w:val="Default"/>
        <w:rPr>
          <w:rFonts w:ascii="Calibri" w:hAnsi="Calibri" w:cs="Calibri"/>
          <w:sz w:val="22"/>
          <w:szCs w:val="22"/>
        </w:rPr>
      </w:pPr>
    </w:p>
    <w:p w:rsidR="00682305" w:rsidRDefault="00DB7B02" w:rsidP="00D56039">
      <w:r w:rsidRPr="00DB7B02">
        <w:t>La luce verso il basso (cioè la luce emessa a pochi gradi al di sotto del piano orizzontale) che raggiunge l'atmosfera</w:t>
      </w:r>
      <w:r>
        <w:t>,</w:t>
      </w:r>
      <w:r w:rsidRPr="00DB7B02">
        <w:t xml:space="preserve"> fa principalmente </w:t>
      </w:r>
      <w:r>
        <w:t>dispersione</w:t>
      </w:r>
      <w:r w:rsidRPr="00DB7B02">
        <w:t xml:space="preserve"> sul suo percorso </w:t>
      </w:r>
      <w:r>
        <w:t>che si estende</w:t>
      </w:r>
      <w:r w:rsidRPr="00DB7B02">
        <w:t xml:space="preserve"> verso il suolo, ma una posizione comune è che questa luce è </w:t>
      </w:r>
      <w:r>
        <w:t xml:space="preserve">estinta </w:t>
      </w:r>
      <w:r w:rsidRPr="00DB7B02">
        <w:t xml:space="preserve">tipicamente dagli edifici e </w:t>
      </w:r>
      <w:r>
        <w:t>dal</w:t>
      </w:r>
      <w:r w:rsidRPr="00DB7B02">
        <w:t>la vegetazione prima che il suo contributo diventi significativo.</w:t>
      </w:r>
      <w:r w:rsidRPr="00DB7B02">
        <w:rPr>
          <w:sz w:val="20"/>
        </w:rPr>
        <w:t>9</w:t>
      </w:r>
      <w:r w:rsidRPr="00DB7B02">
        <w:t xml:space="preserve"> Alcuni modelli di bagliore del cielo ignorano </w:t>
      </w:r>
      <w:r>
        <w:t xml:space="preserve">del tutto </w:t>
      </w:r>
      <w:r w:rsidRPr="00DB7B02">
        <w:t>il contributo della luce verso il basso, mentre altri allo stesso modo riducono la luce verso l'alto emessa vicino al piano orizzontale.</w:t>
      </w:r>
    </w:p>
    <w:p w:rsidR="00DB7B02" w:rsidRDefault="00DB7B02" w:rsidP="00682305">
      <w:pPr>
        <w:pStyle w:val="Default"/>
        <w:rPr>
          <w:rFonts w:ascii="Calibri" w:hAnsi="Calibri" w:cs="Calibri"/>
          <w:sz w:val="22"/>
          <w:szCs w:val="22"/>
        </w:rPr>
      </w:pPr>
    </w:p>
    <w:p w:rsidR="00DB7B02" w:rsidRDefault="00DB7B02" w:rsidP="00682305">
      <w:pPr>
        <w:pStyle w:val="Default"/>
        <w:rPr>
          <w:rFonts w:ascii="Calibri" w:hAnsi="Calibri" w:cs="Calibri"/>
          <w:sz w:val="22"/>
          <w:szCs w:val="22"/>
        </w:rPr>
      </w:pPr>
    </w:p>
    <w:p w:rsidR="00DB7B02" w:rsidRDefault="00DB7B02" w:rsidP="00682305">
      <w:pPr>
        <w:pStyle w:val="Default"/>
        <w:pBdr>
          <w:bottom w:val="single" w:sz="6" w:space="1" w:color="auto"/>
        </w:pBdr>
        <w:rPr>
          <w:rFonts w:ascii="Calibri" w:hAnsi="Calibri" w:cs="Calibri"/>
          <w:sz w:val="22"/>
          <w:szCs w:val="22"/>
        </w:rPr>
      </w:pPr>
    </w:p>
    <w:p w:rsidR="00DB7B02" w:rsidRDefault="00DB7B02" w:rsidP="00682305">
      <w:pPr>
        <w:pStyle w:val="Default"/>
        <w:pBdr>
          <w:bottom w:val="single" w:sz="6" w:space="1" w:color="auto"/>
        </w:pBdr>
        <w:rPr>
          <w:rFonts w:ascii="Calibri" w:hAnsi="Calibri" w:cs="Calibri"/>
          <w:sz w:val="22"/>
          <w:szCs w:val="22"/>
        </w:rPr>
      </w:pPr>
    </w:p>
    <w:p w:rsidR="00DB7B02" w:rsidRDefault="00DB7B02" w:rsidP="00682305">
      <w:pPr>
        <w:pStyle w:val="Default"/>
        <w:pBdr>
          <w:bottom w:val="single" w:sz="6" w:space="1" w:color="auto"/>
        </w:pBdr>
        <w:rPr>
          <w:rFonts w:ascii="Calibri" w:hAnsi="Calibri" w:cs="Calibri"/>
          <w:sz w:val="22"/>
          <w:szCs w:val="22"/>
        </w:rPr>
      </w:pPr>
    </w:p>
    <w:p w:rsidR="00DB7B02" w:rsidRDefault="00DB7B02" w:rsidP="00682305">
      <w:pPr>
        <w:pStyle w:val="Default"/>
        <w:pBdr>
          <w:bottom w:val="single" w:sz="6" w:space="1" w:color="auto"/>
        </w:pBdr>
        <w:rPr>
          <w:rFonts w:ascii="Calibri" w:hAnsi="Calibri" w:cs="Calibri"/>
          <w:sz w:val="22"/>
          <w:szCs w:val="22"/>
        </w:rPr>
      </w:pPr>
    </w:p>
    <w:p w:rsidR="00DB7B02" w:rsidRDefault="00DB7B02" w:rsidP="00682305">
      <w:pPr>
        <w:pStyle w:val="Default"/>
        <w:rPr>
          <w:rFonts w:ascii="Calibri" w:hAnsi="Calibri" w:cs="Calibri"/>
          <w:sz w:val="22"/>
          <w:szCs w:val="22"/>
        </w:rPr>
      </w:pPr>
    </w:p>
    <w:p w:rsidR="00DB7B02" w:rsidRPr="00DB7B02" w:rsidRDefault="00DB7B02" w:rsidP="00DB7B02">
      <w:pPr>
        <w:pStyle w:val="Default"/>
        <w:rPr>
          <w:rFonts w:ascii="Calibri" w:hAnsi="Calibri" w:cs="Calibri"/>
        </w:rPr>
      </w:pPr>
      <w:r w:rsidRPr="00DB7B02">
        <w:rPr>
          <w:rFonts w:ascii="Calibri" w:hAnsi="Calibri" w:cs="Calibri"/>
        </w:rPr>
        <w:t xml:space="preserve">6 See: http://hyperphysics.phy-astr.gsu.edu/hbase/atmos/blusky.html for illustrations of the effects of particle size and incident angles. </w:t>
      </w:r>
    </w:p>
    <w:p w:rsidR="00DB7B02" w:rsidRPr="00DB7B02" w:rsidRDefault="00DB7B02" w:rsidP="00DB7B02">
      <w:pPr>
        <w:pStyle w:val="Default"/>
        <w:rPr>
          <w:rFonts w:ascii="Calibri" w:hAnsi="Calibri" w:cs="Calibri"/>
        </w:rPr>
      </w:pPr>
      <w:r w:rsidRPr="00DB7B02">
        <w:rPr>
          <w:rFonts w:ascii="Calibri" w:hAnsi="Calibri" w:cs="Calibri"/>
        </w:rPr>
        <w:t xml:space="preserve">7 R. Stemprok. ‘Real World Background Luminance for Objects to be Viewed by Night Drivers.’ </w:t>
      </w:r>
      <w:r w:rsidRPr="00DB7B02">
        <w:rPr>
          <w:rFonts w:ascii="Calibri" w:hAnsi="Calibri" w:cs="Calibri"/>
          <w:i/>
          <w:iCs/>
        </w:rPr>
        <w:t>Electric Power Research Institute (EPRI) RFR 053926</w:t>
      </w:r>
      <w:r w:rsidRPr="00DB7B02">
        <w:rPr>
          <w:rFonts w:ascii="Calibri" w:hAnsi="Calibri" w:cs="Calibri"/>
        </w:rPr>
        <w:t xml:space="preserve">, 2004. </w:t>
      </w:r>
    </w:p>
    <w:p w:rsidR="00DB7B02" w:rsidRPr="00DB7B02" w:rsidRDefault="00DB7B02" w:rsidP="00DB7B02">
      <w:pPr>
        <w:pStyle w:val="Default"/>
        <w:rPr>
          <w:rFonts w:ascii="Calibri" w:hAnsi="Calibri" w:cs="Calibri"/>
        </w:rPr>
      </w:pPr>
      <w:r w:rsidRPr="00DB7B02">
        <w:rPr>
          <w:rFonts w:ascii="Calibri" w:hAnsi="Calibri" w:cs="Calibri"/>
        </w:rPr>
        <w:t xml:space="preserve">8 E. Dobos. ‘Albedo.’ </w:t>
      </w:r>
      <w:r w:rsidRPr="00DB7B02">
        <w:rPr>
          <w:rFonts w:ascii="Calibri" w:hAnsi="Calibri" w:cs="Calibri"/>
          <w:i/>
          <w:iCs/>
        </w:rPr>
        <w:t>Encyclopedia of Soil Science</w:t>
      </w:r>
      <w:r w:rsidRPr="00DB7B02">
        <w:rPr>
          <w:rFonts w:ascii="Calibri" w:hAnsi="Calibri" w:cs="Calibri"/>
        </w:rPr>
        <w:t xml:space="preserve">. DOI: 10.1081/E-ESS 120014334, 2003. </w:t>
      </w:r>
    </w:p>
    <w:p w:rsidR="00DB7B02" w:rsidRDefault="00DB7B02" w:rsidP="00DB7B02">
      <w:pPr>
        <w:pStyle w:val="Default"/>
        <w:rPr>
          <w:rFonts w:ascii="Calibri" w:hAnsi="Calibri" w:cs="Calibri"/>
          <w:sz w:val="22"/>
          <w:szCs w:val="22"/>
        </w:rPr>
      </w:pPr>
      <w:r w:rsidRPr="00DB7B02">
        <w:rPr>
          <w:rFonts w:ascii="Calibri" w:hAnsi="Calibri" w:cs="Calibri"/>
          <w:sz w:val="22"/>
          <w:szCs w:val="22"/>
        </w:rPr>
        <w:t xml:space="preserve">9 C. Luginbuhl et al. ‘From the Ground Up II: Sky Glow and Near-Ground Artificial Light Propagation in Flagstaff, Arizona.’ </w:t>
      </w:r>
      <w:r w:rsidRPr="00DB7B02">
        <w:rPr>
          <w:rFonts w:ascii="Calibri" w:hAnsi="Calibri" w:cs="Calibri"/>
          <w:i/>
          <w:iCs/>
          <w:sz w:val="22"/>
          <w:szCs w:val="22"/>
        </w:rPr>
        <w:t>Publications of the Astronomical Society of the Pacific</w:t>
      </w:r>
      <w:r w:rsidRPr="00DB7B02">
        <w:rPr>
          <w:rFonts w:ascii="Calibri" w:hAnsi="Calibri" w:cs="Calibri"/>
          <w:sz w:val="22"/>
          <w:szCs w:val="22"/>
        </w:rPr>
        <w:t xml:space="preserve">, vol. 121, 2009, pp. 204-212.  </w:t>
      </w:r>
    </w:p>
    <w:p w:rsidR="00DB7B02" w:rsidRPr="009220A5" w:rsidRDefault="00DB7B02" w:rsidP="00DB7B02">
      <w:pPr>
        <w:pStyle w:val="Default"/>
        <w:rPr>
          <w:rFonts w:ascii="Calibri" w:hAnsi="Calibri" w:cs="Calibri"/>
          <w:sz w:val="22"/>
          <w:szCs w:val="22"/>
        </w:rPr>
      </w:pPr>
    </w:p>
    <w:p w:rsidR="000E62A0" w:rsidRDefault="000E62A0">
      <w:pPr>
        <w:rPr>
          <w:rFonts w:ascii="Calibri" w:hAnsi="Calibri" w:cs="Calibri"/>
        </w:rPr>
      </w:pPr>
      <w:r>
        <w:rPr>
          <w:rFonts w:ascii="Calibri" w:hAnsi="Calibri" w:cs="Calibri"/>
        </w:rPr>
        <w:br w:type="page"/>
      </w:r>
    </w:p>
    <w:p w:rsidR="00AA3E86" w:rsidRDefault="00AA3E86" w:rsidP="00AA3E86">
      <w:pPr>
        <w:pStyle w:val="Nessunaspaziatura"/>
      </w:pPr>
    </w:p>
    <w:p w:rsidR="00AA3E86" w:rsidRDefault="00AA3E86" w:rsidP="00AA3E86">
      <w:pPr>
        <w:pStyle w:val="Nessunaspaziatura"/>
      </w:pPr>
    </w:p>
    <w:p w:rsidR="00D56039" w:rsidRDefault="00D56039" w:rsidP="00D56039">
      <w:pPr>
        <w:pStyle w:val="Titolo1"/>
      </w:pPr>
      <w:r w:rsidRPr="00D56039">
        <w:t xml:space="preserve">Caratteristiche dell'illuminazione che contribuiscono </w:t>
      </w:r>
      <w:r>
        <w:t xml:space="preserve">al chiarore </w:t>
      </w:r>
      <w:r w:rsidRPr="00D56039">
        <w:t>del cielo</w:t>
      </w:r>
    </w:p>
    <w:p w:rsidR="00D56039" w:rsidRDefault="00D56039" w:rsidP="00D56039">
      <w:pPr>
        <w:pStyle w:val="Nessunaspaziatura"/>
      </w:pPr>
      <w:r w:rsidRPr="00D56039">
        <w:t xml:space="preserve">Tre caratteristiche principali </w:t>
      </w:r>
      <w:r>
        <w:t>degli impianti</w:t>
      </w:r>
      <w:r w:rsidRPr="00D56039">
        <w:t xml:space="preserve"> determinano il contributo al </w:t>
      </w:r>
      <w:r>
        <w:t>chiarore</w:t>
      </w:r>
      <w:r w:rsidRPr="00D56039">
        <w:t xml:space="preserve"> del cielo</w:t>
      </w:r>
      <w:r>
        <w:t xml:space="preserve"> notturno</w:t>
      </w:r>
      <w:r w:rsidRPr="00D56039">
        <w:t>. Ognuno di questi elementi può essere regolato attraverso la loro specifica iniziale e, talvolta, dinamicamente durante il loro funzionamento, per aiutare a controllare il loro impatto.</w:t>
      </w:r>
    </w:p>
    <w:p w:rsidR="00D56039" w:rsidRPr="00DB7B02" w:rsidRDefault="00D56039" w:rsidP="00D56039">
      <w:pPr>
        <w:pStyle w:val="Nessunaspaziatura"/>
      </w:pPr>
    </w:p>
    <w:p w:rsidR="00DB7B02" w:rsidRDefault="00D56039" w:rsidP="00D56039">
      <w:pPr>
        <w:pStyle w:val="Titolo2"/>
      </w:pPr>
      <w:r>
        <w:t>3.1 D</w:t>
      </w:r>
      <w:r w:rsidR="00DB7B02" w:rsidRPr="00DB7B02">
        <w:t>istribution</w:t>
      </w:r>
      <w:r>
        <w:t>e della luce</w:t>
      </w:r>
      <w:r w:rsidR="00DB7B02" w:rsidRPr="00DB7B02">
        <w:t xml:space="preserve"> </w:t>
      </w:r>
    </w:p>
    <w:p w:rsidR="00D56039" w:rsidRDefault="00D56039" w:rsidP="00D56039">
      <w:r>
        <w:t>Gli impianti</w:t>
      </w:r>
      <w:r w:rsidRPr="00D56039">
        <w:t xml:space="preserve"> </w:t>
      </w:r>
      <w:r w:rsidR="008C1681">
        <w:t>sono tradizionalmente progettati</w:t>
      </w:r>
      <w:r w:rsidRPr="00D56039">
        <w:t xml:space="preserve"> con riflettori e ottiche per creare una particolare distribuzione della luce che si adatta alle esigenze di una determinata applicazione. La distribuzione risultante in genere modifica il percorso di gran parte dell'uscita della luce originale dalla sorgente (lampada o LED). Le sorgenti di tipo lampada sono spesso definite emettitori omnidirezionali perché la lampada produce luce in quasi tutte le direzioni. Senza il controllo di questa uscita usando riflettori e lenti, gran parte dell'output sarebbe sprecato su obiettivi involontari o persi al cielo notturno, e inoltre probabilmente causerebbe un abbagliamento per un osservatore (simile a illuminare una stanza usando una lampadina nuda).</w:t>
      </w:r>
      <w:r w:rsidRPr="00D56039">
        <w:br/>
        <w:t>Al contrario, la maggior parte dei prodotti LED di ultima generazione emette luce da un solo lato del chip per formare un pattern di emissione direzionale. Questa luce di solito richiede ancora qualche reindirizzamento per modellare la distribuzione all'applicazione, ma in generale la necessità di reindirizzare è molto più bassa. Un vantaggio distinto di questa carat</w:t>
      </w:r>
      <w:r w:rsidR="008C1681">
        <w:t>teristica è che generalmente gran parte</w:t>
      </w:r>
      <w:r w:rsidRPr="00D56039">
        <w:t xml:space="preserve"> della luce va dove è </w:t>
      </w:r>
      <w:r w:rsidR="008C1681">
        <w:t>voluto</w:t>
      </w:r>
      <w:r w:rsidRPr="00D56039">
        <w:t xml:space="preserve"> e meno dove non è voluto. La diminuzione della luce </w:t>
      </w:r>
      <w:r w:rsidR="008C1681">
        <w:t>dispersa</w:t>
      </w:r>
      <w:r w:rsidRPr="00D56039">
        <w:t xml:space="preserve"> non solo riduce </w:t>
      </w:r>
      <w:r w:rsidR="008C1681">
        <w:t>i disturbi</w:t>
      </w:r>
      <w:r w:rsidRPr="00D56039">
        <w:t xml:space="preserve"> della luce </w:t>
      </w:r>
      <w:r w:rsidR="008C1681" w:rsidRPr="00D56039">
        <w:t xml:space="preserve">a </w:t>
      </w:r>
      <w:r w:rsidR="008C1681">
        <w:t xml:space="preserve">prodotti a </w:t>
      </w:r>
      <w:r w:rsidR="008C1681" w:rsidRPr="00D56039">
        <w:t>volte</w:t>
      </w:r>
      <w:r w:rsidR="008C1681">
        <w:t xml:space="preserve"> dagli impianti</w:t>
      </w:r>
      <w:r w:rsidR="008C1681" w:rsidRPr="00D56039">
        <w:t xml:space="preserve"> </w:t>
      </w:r>
      <w:r w:rsidR="008C1681">
        <w:t>t</w:t>
      </w:r>
      <w:r w:rsidRPr="00D56039">
        <w:t xml:space="preserve">radizionali, ma contribuisce anche meno alla luce </w:t>
      </w:r>
      <w:r w:rsidR="008C1681">
        <w:t xml:space="preserve">parassita </w:t>
      </w:r>
      <w:r w:rsidRPr="00D56039">
        <w:t>del cielo notturno.</w:t>
      </w:r>
      <w:r w:rsidRPr="00D56039">
        <w:br/>
        <w:t xml:space="preserve">Un miglioramento relativo dei più moderni </w:t>
      </w:r>
      <w:r>
        <w:t>impianti</w:t>
      </w:r>
      <w:r w:rsidRPr="00D56039">
        <w:t xml:space="preserve"> di illuminazione stradale (applicabile sia alle sorgenti a LED sia a quelle convenzionali) è la capacità di eliminare praticamente tutte le uscite superiori al piano orizzontale. Gli </w:t>
      </w:r>
      <w:r>
        <w:t>impianti</w:t>
      </w:r>
      <w:r w:rsidRPr="00D56039">
        <w:t xml:space="preserve"> più vecchi utilizzavano spesso le lenti a goccia per estendere la portata della loro illuminazione tra i poli di montaggio o in altre zone lontane, ma le ottiche a lenti piatte moderne hanno notevolmente ridotto la necessità di questo approccio (Figura 3).</w:t>
      </w:r>
    </w:p>
    <w:p w:rsidR="00AA3E86" w:rsidRDefault="00AA3E86" w:rsidP="00D56039"/>
    <w:p w:rsidR="00AA3E86" w:rsidRDefault="00AA3E86" w:rsidP="00D56039"/>
    <w:p w:rsidR="00AA3E86" w:rsidRDefault="00AA3E86" w:rsidP="00AA3E86">
      <w:pPr>
        <w:jc w:val="center"/>
      </w:pPr>
      <w:r w:rsidRPr="008C1681">
        <w:rPr>
          <w:noProof/>
          <w:lang w:eastAsia="it-IT"/>
        </w:rPr>
        <w:drawing>
          <wp:inline distT="0" distB="0" distL="0" distR="0" wp14:anchorId="53E37AA8" wp14:editId="58E55D4A">
            <wp:extent cx="6645910" cy="2460625"/>
            <wp:effectExtent l="0" t="0" r="254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460625"/>
                    </a:xfrm>
                    <a:prstGeom prst="rect">
                      <a:avLst/>
                    </a:prstGeom>
                    <a:noFill/>
                    <a:ln>
                      <a:noFill/>
                    </a:ln>
                  </pic:spPr>
                </pic:pic>
              </a:graphicData>
            </a:graphic>
          </wp:inline>
        </w:drawing>
      </w:r>
    </w:p>
    <w:p w:rsidR="00AA3E86" w:rsidRDefault="00AA3E86" w:rsidP="00AA3E86">
      <w:pPr>
        <w:keepNext/>
      </w:pPr>
    </w:p>
    <w:p w:rsidR="00AA3E86" w:rsidRPr="00D56039" w:rsidRDefault="00AA3E86" w:rsidP="00AA3E86">
      <w:pPr>
        <w:pStyle w:val="Didascalia"/>
        <w:jc w:val="center"/>
      </w:pPr>
      <w:r>
        <w:t>Figura</w:t>
      </w:r>
      <w:r w:rsidRPr="00CA3F47">
        <w:t xml:space="preserve"> 3 </w:t>
      </w:r>
      <w:r>
        <w:t>Vetro a goccia</w:t>
      </w:r>
      <w:r w:rsidRPr="00CA3F47">
        <w:t xml:space="preserve"> (left) </w:t>
      </w:r>
      <w:r>
        <w:t xml:space="preserve">vetro piatto </w:t>
      </w:r>
      <w:r w:rsidRPr="00CA3F47">
        <w:t xml:space="preserve">(right) </w:t>
      </w:r>
      <w:r>
        <w:t>impianti stradali con testa “a cobra”</w:t>
      </w:r>
    </w:p>
    <w:p w:rsidR="00AA3E86" w:rsidRDefault="00AA3E86" w:rsidP="00D56039"/>
    <w:p w:rsidR="00AA3E86" w:rsidRDefault="00AA3E86">
      <w:r>
        <w:br w:type="page"/>
      </w:r>
    </w:p>
    <w:p w:rsidR="00AA3E86" w:rsidRDefault="00AA3E86" w:rsidP="00D56039"/>
    <w:p w:rsidR="005B5EA3" w:rsidRDefault="005B5EA3" w:rsidP="00D56039"/>
    <w:p w:rsidR="005B5EA3" w:rsidRDefault="005B5EA3" w:rsidP="00D56039"/>
    <w:p w:rsidR="00AA3E86" w:rsidRDefault="00AA3E86" w:rsidP="00D56039">
      <w:r>
        <w:t>Gli impianti</w:t>
      </w:r>
      <w:r w:rsidRPr="00AA3E86">
        <w:t xml:space="preserve"> </w:t>
      </w:r>
      <w:r>
        <w:t xml:space="preserve">con vetro </w:t>
      </w:r>
      <w:r w:rsidRPr="00AA3E86">
        <w:t>a goccia emettono una parte altamente visibile della loro uscita direttamente nel cielo, come risulta dalla vista diretta della sorgente luminosa dall'alto. Al contrario, le sorgenti luminose negli apparecchi a telaio non sono di solito visibili dall'alto (Figura 4).</w:t>
      </w:r>
    </w:p>
    <w:p w:rsidR="00AA3E86" w:rsidRDefault="00AA3E86" w:rsidP="00D56039"/>
    <w:p w:rsidR="00AA3E86" w:rsidRDefault="00AA3E86" w:rsidP="00AA3E86">
      <w:pPr>
        <w:keepNext/>
        <w:jc w:val="center"/>
      </w:pPr>
      <w:r w:rsidRPr="00AA3E86">
        <w:rPr>
          <w:noProof/>
          <w:lang w:eastAsia="it-IT"/>
        </w:rPr>
        <w:drawing>
          <wp:inline distT="0" distB="0" distL="0" distR="0">
            <wp:extent cx="3241695" cy="248015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787" cy="2487874"/>
                    </a:xfrm>
                    <a:prstGeom prst="rect">
                      <a:avLst/>
                    </a:prstGeom>
                    <a:noFill/>
                    <a:ln>
                      <a:noFill/>
                    </a:ln>
                  </pic:spPr>
                </pic:pic>
              </a:graphicData>
            </a:graphic>
          </wp:inline>
        </w:drawing>
      </w:r>
      <w:r w:rsidRPr="00AA3E86">
        <w:t xml:space="preserve"> </w:t>
      </w:r>
      <w:r w:rsidRPr="00AA3E86">
        <w:rPr>
          <w:noProof/>
          <w:lang w:eastAsia="it-IT"/>
        </w:rPr>
        <w:drawing>
          <wp:inline distT="0" distB="0" distL="0" distR="0">
            <wp:extent cx="3295121" cy="2483103"/>
            <wp:effectExtent l="0" t="0" r="63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6048" cy="2506408"/>
                    </a:xfrm>
                    <a:prstGeom prst="rect">
                      <a:avLst/>
                    </a:prstGeom>
                    <a:noFill/>
                    <a:ln>
                      <a:noFill/>
                    </a:ln>
                  </pic:spPr>
                </pic:pic>
              </a:graphicData>
            </a:graphic>
          </wp:inline>
        </w:drawing>
      </w:r>
    </w:p>
    <w:p w:rsidR="00AA3E86" w:rsidRDefault="00AA3E86" w:rsidP="00AA3E86">
      <w:pPr>
        <w:pStyle w:val="Didascalia"/>
        <w:jc w:val="center"/>
      </w:pPr>
      <w:r>
        <w:t>Figura 4 Assenza di luce verso l’alto di impianti moderni a destra,</w:t>
      </w:r>
      <w:r w:rsidRPr="00312335">
        <w:t xml:space="preserve"> </w:t>
      </w:r>
      <w:r>
        <w:t>confrontati vecchi impianti a goccia a sinistra</w:t>
      </w:r>
      <w:r w:rsidRPr="00312335">
        <w:t>. (Photo credit: LABSL)</w:t>
      </w:r>
    </w:p>
    <w:p w:rsidR="00AA3E86" w:rsidRDefault="00AA3E86" w:rsidP="00D56039"/>
    <w:p w:rsidR="00A30E3C" w:rsidRDefault="00A30E3C" w:rsidP="00A30E3C">
      <w:pPr>
        <w:pStyle w:val="Titolo2"/>
      </w:pPr>
      <w:r w:rsidRPr="00A30E3C">
        <w:t>3.2 Uscita luminosa</w:t>
      </w:r>
      <w:r w:rsidR="00F15D04">
        <w:t xml:space="preserve"> degli impianti</w:t>
      </w:r>
    </w:p>
    <w:p w:rsidR="00A30E3C" w:rsidRDefault="00A30E3C" w:rsidP="00D56039">
      <w:r w:rsidRPr="00A30E3C">
        <w:t>I miglioramenti nell'uniformità che accompagnano la distribuzione migliorata significano anche me</w:t>
      </w:r>
      <w:r w:rsidR="00F15D04">
        <w:t>no ombre in alcune aree e meno</w:t>
      </w:r>
      <w:r w:rsidRPr="00A30E3C">
        <w:t xml:space="preserve"> </w:t>
      </w:r>
      <w:r w:rsidR="00F15D04">
        <w:t>punti sovra-</w:t>
      </w:r>
      <w:r w:rsidRPr="00A30E3C">
        <w:t>illumina</w:t>
      </w:r>
      <w:r w:rsidR="00F15D04">
        <w:t>t</w:t>
      </w:r>
      <w:r w:rsidRPr="00A30E3C">
        <w:t xml:space="preserve">i in altri. Insieme, questi vantaggi consentono ai prodotti LED di soddisfare generalmente una determinata applicazione di illuminazione con molto meno lumen di quelli richiesti dai prodotti tradizionali a base di lampade. L'uscita luminosa dei prodotti a LED </w:t>
      </w:r>
      <w:r w:rsidR="00F15D04">
        <w:t>è spesso la metà, o addirittura</w:t>
      </w:r>
      <w:r w:rsidRPr="00A30E3C">
        <w:t xml:space="preserve"> </w:t>
      </w:r>
      <w:r w:rsidR="00F15D04">
        <w:t>meno, de</w:t>
      </w:r>
      <w:r w:rsidRPr="00A30E3C">
        <w:t>lla produzione luminosa dei prodotti che stanno sostituendo.</w:t>
      </w:r>
      <w:r w:rsidRPr="00A30E3C">
        <w:br/>
      </w:r>
    </w:p>
    <w:p w:rsidR="005B5EA3" w:rsidRDefault="005B5EA3" w:rsidP="00D56039"/>
    <w:p w:rsidR="00A30E3C" w:rsidRDefault="00A30E3C" w:rsidP="00A30E3C">
      <w:pPr>
        <w:pStyle w:val="Titolo2"/>
      </w:pPr>
      <w:r w:rsidRPr="00A30E3C">
        <w:t>3.3 Contenuto spettrale</w:t>
      </w:r>
    </w:p>
    <w:p w:rsidR="00F15D04" w:rsidRDefault="00A30E3C" w:rsidP="00D56039">
      <w:r w:rsidRPr="00A30E3C">
        <w:t>Un</w:t>
      </w:r>
      <w:r w:rsidR="00F15D04">
        <w:t>a</w:t>
      </w:r>
      <w:r w:rsidRPr="00A30E3C">
        <w:t xml:space="preserve"> </w:t>
      </w:r>
      <w:r w:rsidR="00F15D04">
        <w:t>parte significativa della</w:t>
      </w:r>
      <w:r w:rsidRPr="00A30E3C">
        <w:t xml:space="preserve"> letteratura </w:t>
      </w:r>
      <w:r w:rsidR="00F15D04">
        <w:t xml:space="preserve">tecnica </w:t>
      </w:r>
      <w:r w:rsidRPr="00A30E3C">
        <w:t>si sta evolvendo sugli impatti della luce di notte rispetto al contenuto spettrale (come risulta dal</w:t>
      </w:r>
      <w:r w:rsidR="00B872E6">
        <w:t>la sua</w:t>
      </w:r>
      <w:r w:rsidRPr="00A30E3C">
        <w:t xml:space="preserve"> </w:t>
      </w:r>
      <w:r w:rsidR="00B872E6">
        <w:t xml:space="preserve">SPD </w:t>
      </w:r>
      <w:r w:rsidR="00B872E6" w:rsidRPr="00A1308A">
        <w:rPr>
          <w:rFonts w:ascii="Verdana" w:hAnsi="Verdana"/>
          <w:sz w:val="20"/>
          <w:szCs w:val="20"/>
        </w:rPr>
        <w:t>(Spectral Power Distribution)</w:t>
      </w:r>
      <w:r w:rsidRPr="00A30E3C">
        <w:t>). Come notato, lunghezze d'onda più corte tendono a diffondersi più facilmente nell'atmosfera di lunghezze d'onda più lunghe, in modo che il contenuto spettrale di una sorgente luminosa influenza direttamente il bagliore del cielo.</w:t>
      </w:r>
    </w:p>
    <w:p w:rsidR="00A30E3C" w:rsidRDefault="005B5EA3" w:rsidP="00D56039">
      <w:r>
        <w:rPr>
          <w:noProof/>
          <w:lang w:eastAsia="it-IT"/>
        </w:rPr>
        <mc:AlternateContent>
          <mc:Choice Requires="wps">
            <w:drawing>
              <wp:anchor distT="0" distB="0" distL="114300" distR="114300" simplePos="0" relativeHeight="251663360" behindDoc="0" locked="0" layoutInCell="1" allowOverlap="1" wp14:anchorId="0A4B7331" wp14:editId="0B8EC46B">
                <wp:simplePos x="0" y="0"/>
                <wp:positionH relativeFrom="column">
                  <wp:posOffset>5579745</wp:posOffset>
                </wp:positionH>
                <wp:positionV relativeFrom="paragraph">
                  <wp:posOffset>1126490</wp:posOffset>
                </wp:positionV>
                <wp:extent cx="1057910" cy="450850"/>
                <wp:effectExtent l="0" t="0" r="8890" b="635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1057910" cy="450850"/>
                        </a:xfrm>
                        <a:prstGeom prst="rect">
                          <a:avLst/>
                        </a:prstGeom>
                        <a:solidFill>
                          <a:prstClr val="white"/>
                        </a:solidFill>
                        <a:ln>
                          <a:noFill/>
                        </a:ln>
                      </wps:spPr>
                      <wps:txbx>
                        <w:txbxContent>
                          <w:p w:rsidR="000A182B" w:rsidRPr="00E97DCF" w:rsidRDefault="000A182B" w:rsidP="005B5EA3">
                            <w:pPr>
                              <w:pStyle w:val="Didascalia"/>
                              <w:rPr>
                                <w:noProof/>
                              </w:rPr>
                            </w:pPr>
                            <w:r>
                              <w:t>Figura 5</w:t>
                            </w:r>
                            <w:r w:rsidRPr="00357D82">
                              <w:t xml:space="preserve"> </w:t>
                            </w:r>
                            <w:r>
                              <w:t>F</w:t>
                            </w:r>
                            <w:r w:rsidRPr="00357D82">
                              <w:t>lat lens chip array PC-amber-cyan-violet (ledengin.com).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B7331" id="Casella di testo 11" o:spid="_x0000_s1027" type="#_x0000_t202" style="position:absolute;margin-left:439.35pt;margin-top:88.7pt;width:83.3pt;height:3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" stroked="f">
                <v:textbox inset="0,0,0,0">
                  <w:txbxContent>
                    <w:p w:rsidR="000A182B" w:rsidRPr="00E97DCF" w:rsidRDefault="000A182B" w:rsidP="005B5EA3">
                      <w:pPr>
                        <w:pStyle w:val="Didascalia"/>
                        <w:rPr>
                          <w:noProof/>
                        </w:rPr>
                      </w:pPr>
                      <w:r>
                        <w:t>Figura 5</w:t>
                      </w:r>
                      <w:r w:rsidRPr="00357D82">
                        <w:t xml:space="preserve"> </w:t>
                      </w:r>
                      <w:r>
                        <w:t>F</w:t>
                      </w:r>
                      <w:r w:rsidRPr="00357D82">
                        <w:t>lat lens chip array PC-amber-cyan-violet (ledengin.com).</w:t>
                      </w:r>
                    </w:p>
                  </w:txbxContent>
                </v:textbox>
                <w10:wrap type="square"/>
              </v:shape>
            </w:pict>
          </mc:Fallback>
        </mc:AlternateContent>
      </w:r>
      <w:r w:rsidRPr="005B5EA3">
        <w:rPr>
          <w:noProof/>
          <w:lang w:eastAsia="it-IT"/>
        </w:rPr>
        <w:drawing>
          <wp:anchor distT="0" distB="0" distL="114300" distR="114300" simplePos="0" relativeHeight="251661312" behindDoc="0" locked="0" layoutInCell="1" allowOverlap="1">
            <wp:simplePos x="459288" y="6388274"/>
            <wp:positionH relativeFrom="column">
              <wp:align>right</wp:align>
            </wp:positionH>
            <wp:positionV relativeFrom="paragraph">
              <wp:posOffset>0</wp:posOffset>
            </wp:positionV>
            <wp:extent cx="1058400" cy="1069200"/>
            <wp:effectExtent l="0" t="0" r="889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58400" cy="106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72E6">
        <w:t>La</w:t>
      </w:r>
      <w:r w:rsidR="00A30E3C" w:rsidRPr="00A30E3C">
        <w:t xml:space="preserve"> SPD di una sorgente descrive il suo contenuto spettrale in termini di potenza radiante emessa in ogni </w:t>
      </w:r>
      <w:r w:rsidR="00B872E6">
        <w:t xml:space="preserve">porzione </w:t>
      </w:r>
      <w:r w:rsidR="00A30E3C" w:rsidRPr="00A30E3C">
        <w:t xml:space="preserve">di lunghezza d'onda attraverso lo spettro. Sebbene </w:t>
      </w:r>
      <w:r w:rsidR="00B872E6">
        <w:t>le</w:t>
      </w:r>
      <w:r w:rsidR="00A30E3C" w:rsidRPr="00A30E3C">
        <w:t xml:space="preserve"> SPD per una determinata tecnologia di origine spesso condividano caratteristiche simili, i diversi prodotti presentano frequentemente variazioni significative in uscita tra i </w:t>
      </w:r>
      <w:r w:rsidR="00B872E6">
        <w:t>settori</w:t>
      </w:r>
      <w:r w:rsidR="00A30E3C" w:rsidRPr="00A30E3C">
        <w:t xml:space="preserve"> d</w:t>
      </w:r>
      <w:r w:rsidR="00B872E6">
        <w:t>i</w:t>
      </w:r>
      <w:r w:rsidR="00A30E3C" w:rsidRPr="00A30E3C">
        <w:t xml:space="preserve"> lunghezza d'onda e possono inoltre incorporare chip aggiuntivi con proprietà diverse per migliorare alcuni colori o altre qualità (Figura 5). La maggior parte delle tecnologie di origine sono quindi </w:t>
      </w:r>
      <w:r w:rsidR="00B872E6">
        <w:t xml:space="preserve">mal </w:t>
      </w:r>
      <w:r w:rsidR="00A30E3C" w:rsidRPr="00A30E3C">
        <w:t xml:space="preserve">rappresentate da un insieme presunto di proprietà monolitiche, soprattutto quando i prodotti che utilizzano tale tecnologia sono disponibili in SPD </w:t>
      </w:r>
      <w:r w:rsidR="00B872E6">
        <w:t>molto diversi, e spesso anche alle stesse</w:t>
      </w:r>
      <w:r w:rsidR="00A30E3C" w:rsidRPr="00A30E3C">
        <w:t xml:space="preserve"> CCT</w:t>
      </w:r>
      <w:r w:rsidR="00B872E6">
        <w:t xml:space="preserve"> (</w:t>
      </w:r>
      <w:r w:rsidR="00B872E6">
        <w:rPr>
          <w:rFonts w:ascii="Verdana" w:hAnsi="Verdana"/>
          <w:sz w:val="20"/>
          <w:szCs w:val="20"/>
        </w:rPr>
        <w:t>Correlated Color T</w:t>
      </w:r>
      <w:r w:rsidR="00B872E6" w:rsidRPr="00135233">
        <w:rPr>
          <w:rFonts w:ascii="Verdana" w:hAnsi="Verdana"/>
          <w:sz w:val="20"/>
          <w:szCs w:val="20"/>
        </w:rPr>
        <w:t>emperatures</w:t>
      </w:r>
      <w:r w:rsidR="00B872E6">
        <w:t>)</w:t>
      </w:r>
      <w:r w:rsidR="00A30E3C" w:rsidRPr="00A30E3C">
        <w:t xml:space="preserve">. Nonostante l'uso comune di CCT come indicatore di SPD, gli spettri specifici contenuti nelle fonti sono più pertinenti per il </w:t>
      </w:r>
      <w:r w:rsidR="00B872E6">
        <w:t>chiarore</w:t>
      </w:r>
      <w:r w:rsidR="00A30E3C" w:rsidRPr="00A30E3C">
        <w:t xml:space="preserve"> del cielo </w:t>
      </w:r>
      <w:r w:rsidR="00B872E6">
        <w:t xml:space="preserve">notturno </w:t>
      </w:r>
      <w:r w:rsidR="00A30E3C" w:rsidRPr="00A30E3C">
        <w:t>rispetto alla tonalità apparente della luce.</w:t>
      </w:r>
    </w:p>
    <w:p w:rsidR="005B5EA3" w:rsidRDefault="005B5EA3" w:rsidP="00D56039"/>
    <w:p w:rsidR="005B5EA3" w:rsidRDefault="005B5EA3">
      <w:r>
        <w:br w:type="page"/>
      </w:r>
    </w:p>
    <w:p w:rsidR="007D6F8C" w:rsidRPr="007D6F8C" w:rsidRDefault="007D6F8C" w:rsidP="007D6F8C">
      <w:pPr>
        <w:pStyle w:val="Titolo1"/>
      </w:pPr>
      <w:r>
        <w:lastRenderedPageBreak/>
        <w:t xml:space="preserve">Modelli selezionati per lo </w:t>
      </w:r>
      <w:r w:rsidRPr="007D6F8C">
        <w:t xml:space="preserve">Sky Glow: </w:t>
      </w:r>
      <w:r w:rsidRPr="007D6F8C">
        <w:rPr>
          <w:i/>
          <w:iCs/>
        </w:rPr>
        <w:t xml:space="preserve">SkyGlow Simulator </w:t>
      </w:r>
    </w:p>
    <w:p w:rsidR="007D6F8C" w:rsidRDefault="007D6F8C" w:rsidP="007D6F8C">
      <w:pPr>
        <w:rPr>
          <w:b/>
          <w:bCs/>
        </w:rPr>
      </w:pPr>
    </w:p>
    <w:p w:rsidR="007D6F8C" w:rsidRPr="007D6F8C" w:rsidRDefault="007D6F8C" w:rsidP="007D6F8C">
      <w:pPr>
        <w:pStyle w:val="Titolo2"/>
      </w:pPr>
      <w:r>
        <w:t>4.1 T</w:t>
      </w:r>
      <w:r w:rsidRPr="007D6F8C">
        <w:t>eor</w:t>
      </w:r>
      <w:r>
        <w:t>ia</w:t>
      </w:r>
      <w:r w:rsidRPr="007D6F8C">
        <w:t xml:space="preserve"> </w:t>
      </w:r>
    </w:p>
    <w:p w:rsidR="007D6F8C" w:rsidRDefault="007D6F8C" w:rsidP="007D6F8C"/>
    <w:p w:rsidR="007D6F8C" w:rsidRDefault="007D6F8C" w:rsidP="007D6F8C">
      <w:r w:rsidRPr="007D6F8C">
        <w:t>Miroslav Kocifaj ha sviluppato il modello SkyGlow Simulator nel 2007. 10,11 (Un esempio dell'interfaccia utente grafica è mostrato in Figura 6 e la configurazione geometrica del modello è mostrata in Figura 7.) Il modello è scalabile e progettato per emettitori realistici (ad esempio, città o aree di superficie definite) come un miglioramento rispetto a punti-sorgenti. SkyGlow Simulator modella la luce emessa dalle sorgenti di terra in base alla distribuzione angolare della luce (ad esempio, potenza per angolo solido unitario per area sorgente proiettata unità). La superficie (forma e dimensione) di una città è definita attraverso i vertici di coordinate (latitudine, longitudine). Per caratterizzare la luce emessa, viene definito il numero di sorgenti luminose individuali, unitamente alle loro caratteristiche radiografiche e angolari. Il modello calcola l'emissione totale del terreno in base alla potenza totale dell'apparecchio di illuminazione, all'uscita totale della luce o alla popolazione della città (ad esempio, lumen per persona). In sostanza, il modello combina fonti di luce a terra, costruite da molti pixel, con un'atmosfera stratificata verticalmente (caratterizzata da uno specifico spettro di volume e coefficienti di assorbimento di altitudine). Ogni pixel è caratterizzato dalla posizione rispetto all'osservatore, dal flusso radiante totale e dalla radianza spettrale in funzione dell'angolo zenith.</w:t>
      </w:r>
    </w:p>
    <w:p w:rsidR="007D6F8C" w:rsidRDefault="007D6F8C" w:rsidP="007D6F8C"/>
    <w:p w:rsidR="007D6F8C" w:rsidRDefault="007D6F8C" w:rsidP="007D6F8C">
      <w:pPr>
        <w:keepNext/>
        <w:jc w:val="center"/>
      </w:pPr>
      <w:r w:rsidRPr="007D6F8C">
        <w:rPr>
          <w:noProof/>
          <w:lang w:eastAsia="it-IT"/>
        </w:rPr>
        <w:drawing>
          <wp:inline distT="0" distB="0" distL="0" distR="0">
            <wp:extent cx="5759605" cy="461530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547" cy="4621665"/>
                    </a:xfrm>
                    <a:prstGeom prst="rect">
                      <a:avLst/>
                    </a:prstGeom>
                    <a:noFill/>
                    <a:ln>
                      <a:noFill/>
                    </a:ln>
                  </pic:spPr>
                </pic:pic>
              </a:graphicData>
            </a:graphic>
          </wp:inline>
        </w:drawing>
      </w:r>
    </w:p>
    <w:p w:rsidR="007D6F8C" w:rsidRDefault="007D6F8C" w:rsidP="007D6F8C">
      <w:pPr>
        <w:pStyle w:val="Didascalia"/>
        <w:jc w:val="center"/>
      </w:pPr>
      <w:r>
        <w:t xml:space="preserve">Figura </w:t>
      </w:r>
      <w:r w:rsidRPr="00B16474">
        <w:t xml:space="preserve">6 </w:t>
      </w:r>
      <w:r w:rsidR="00703C1E">
        <w:t xml:space="preserve">– Interfaccia utente grafica per la simulazione con </w:t>
      </w:r>
      <w:r w:rsidRPr="00B16474">
        <w:t>SkyGlow Simulator</w:t>
      </w:r>
    </w:p>
    <w:p w:rsidR="007D6F8C" w:rsidRDefault="007D6F8C" w:rsidP="007D6F8C">
      <w:pPr>
        <w:pBdr>
          <w:bottom w:val="single" w:sz="6" w:space="1" w:color="auto"/>
        </w:pBdr>
      </w:pPr>
    </w:p>
    <w:p w:rsidR="00042EF7" w:rsidRDefault="00042EF7" w:rsidP="007D6F8C"/>
    <w:p w:rsidR="00042EF7" w:rsidRPr="00042EF7" w:rsidRDefault="00042EF7" w:rsidP="00042EF7">
      <w:r w:rsidRPr="00042EF7">
        <w:t xml:space="preserve">10 M. Kocifaj. ‘Light-pollution model for cloudy and cloudless night skies with ground-based light source.’ </w:t>
      </w:r>
      <w:r w:rsidRPr="00042EF7">
        <w:rPr>
          <w:i/>
          <w:iCs/>
        </w:rPr>
        <w:t xml:space="preserve">Applied Optics, </w:t>
      </w:r>
      <w:r w:rsidRPr="00042EF7">
        <w:t xml:space="preserve">vol. 46, no. 15, 2007. </w:t>
      </w:r>
    </w:p>
    <w:p w:rsidR="00042EF7" w:rsidRDefault="00042EF7" w:rsidP="00042EF7">
      <w:r w:rsidRPr="00042EF7">
        <w:t xml:space="preserve">11 </w:t>
      </w:r>
      <w:r w:rsidRPr="00042EF7">
        <w:rPr>
          <w:i/>
          <w:iCs/>
        </w:rPr>
        <w:t>SkyGlow Simulator</w:t>
      </w:r>
      <w:r w:rsidRPr="00042EF7">
        <w:t xml:space="preserve">: http://unisky.sav.sk/?lang=en&amp;page=aplikacia&amp;subpage=glow.  </w:t>
      </w:r>
    </w:p>
    <w:p w:rsidR="00042EF7" w:rsidRDefault="00042EF7" w:rsidP="007D6F8C"/>
    <w:p w:rsidR="00703C1E" w:rsidRDefault="00703C1E">
      <w:r>
        <w:br w:type="page"/>
      </w:r>
    </w:p>
    <w:p w:rsidR="00703C1E" w:rsidRDefault="00703C1E" w:rsidP="007D6F8C"/>
    <w:p w:rsidR="00042EF7" w:rsidRDefault="00042EF7" w:rsidP="00042EF7">
      <w:pPr>
        <w:jc w:val="center"/>
      </w:pPr>
      <w:r w:rsidRPr="00042EF7">
        <w:rPr>
          <w:noProof/>
          <w:lang w:eastAsia="it-IT"/>
        </w:rPr>
        <w:drawing>
          <wp:inline distT="0" distB="0" distL="0" distR="0">
            <wp:extent cx="6175331" cy="3227306"/>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0466" cy="3229990"/>
                    </a:xfrm>
                    <a:prstGeom prst="rect">
                      <a:avLst/>
                    </a:prstGeom>
                    <a:noFill/>
                    <a:ln>
                      <a:noFill/>
                    </a:ln>
                  </pic:spPr>
                </pic:pic>
              </a:graphicData>
            </a:graphic>
          </wp:inline>
        </w:drawing>
      </w:r>
    </w:p>
    <w:p w:rsidR="00042EF7" w:rsidRDefault="00042EF7" w:rsidP="00042EF7">
      <w:pPr>
        <w:jc w:val="center"/>
      </w:pPr>
    </w:p>
    <w:p w:rsidR="00042EF7" w:rsidRDefault="00042EF7" w:rsidP="00042EF7">
      <w:pPr>
        <w:jc w:val="center"/>
        <w:rPr>
          <w:b/>
          <w:bCs/>
        </w:rPr>
      </w:pPr>
      <w:r>
        <w:rPr>
          <w:b/>
          <w:bCs/>
        </w:rPr>
        <w:t>Figura</w:t>
      </w:r>
      <w:r w:rsidRPr="00042EF7">
        <w:rPr>
          <w:b/>
          <w:bCs/>
        </w:rPr>
        <w:t xml:space="preserve"> 7 Geometrical setup of the light-pollution model for </w:t>
      </w:r>
      <w:r w:rsidRPr="00042EF7">
        <w:rPr>
          <w:b/>
          <w:bCs/>
          <w:i/>
          <w:iCs/>
        </w:rPr>
        <w:t>SkyGlow Simulator</w:t>
      </w:r>
      <w:r w:rsidRPr="00042EF7">
        <w:rPr>
          <w:b/>
          <w:bCs/>
        </w:rPr>
        <w:t>.</w:t>
      </w:r>
    </w:p>
    <w:p w:rsidR="00042EF7" w:rsidRPr="00042EF7" w:rsidRDefault="00042EF7" w:rsidP="00042EF7"/>
    <w:p w:rsidR="00042EF7" w:rsidRDefault="00042EF7" w:rsidP="00042EF7">
      <w:pPr>
        <w:rPr>
          <w:rFonts w:ascii="Cambria Math" w:hAnsi="Cambria Math" w:cs="Cambria Math"/>
        </w:rPr>
      </w:pPr>
      <w:r w:rsidRPr="00042EF7">
        <w:rPr>
          <w:rFonts w:ascii="Cambria Math" w:hAnsi="Cambria Math" w:cs="Cambria Math"/>
        </w:rPr>
        <w:t xml:space="preserve">L'intensità luminosa che crea il modello di cielo luminoso in un volume elementare atmosferico è una somma di intensità di tutte </w:t>
      </w:r>
      <w:r>
        <w:rPr>
          <w:rFonts w:ascii="Cambria Math" w:hAnsi="Cambria Math" w:cs="Cambria Math"/>
        </w:rPr>
        <w:t>i fasci luminosi emessi</w:t>
      </w:r>
      <w:r w:rsidRPr="00042EF7">
        <w:rPr>
          <w:rFonts w:ascii="Cambria Math" w:hAnsi="Cambria Math" w:cs="Cambria Math"/>
        </w:rPr>
        <w:t xml:space="preserve"> da diverse are</w:t>
      </w:r>
      <w:r>
        <w:rPr>
          <w:rFonts w:ascii="Cambria Math" w:hAnsi="Cambria Math" w:cs="Cambria Math"/>
        </w:rPr>
        <w:t>e in differenti angoli di zenit</w:t>
      </w:r>
      <w:r w:rsidRPr="00042EF7">
        <w:rPr>
          <w:rFonts w:ascii="Cambria Math" w:hAnsi="Cambria Math" w:cs="Cambria Math"/>
        </w:rPr>
        <w:t>; quindi, la luce verso l'alto è un'associazione delle distribuzioni di emissione. La funzione di emissione angolare è una proprietà chiave per valutare il bagliore del cielo di una superficie specifica; diverse installazioni, disegni urbani e geografiche terrestri dettano la necessità di funzioni multiple. Garstang ha trovato una formula approssimativa per il comportamento angolare delle radiazioni prodotte da sorgenti luminose di superficie, che è diventata la funzione di emissione della città,</w:t>
      </w:r>
      <w:r>
        <w:rPr>
          <w:rFonts w:ascii="Cambria Math" w:hAnsi="Cambria Math" w:cs="Cambria Math"/>
        </w:rPr>
        <w:t xml:space="preserve"> i simulatori di inquinamento luminoso usano </w:t>
      </w:r>
      <w:r w:rsidR="00607E50">
        <w:rPr>
          <w:rFonts w:ascii="Cambria Math" w:hAnsi="Cambria Math" w:cs="Cambria Math"/>
        </w:rPr>
        <w:t>in genere:</w:t>
      </w:r>
    </w:p>
    <w:p w:rsidR="00042EF7" w:rsidRDefault="00042EF7" w:rsidP="00042EF7">
      <w:r>
        <w:rPr>
          <w:rFonts w:ascii="Cambria Math" w:hAnsi="Cambria Math" w:cs="Cambria Math"/>
        </w:rPr>
        <w:t>𝐵</w:t>
      </w:r>
      <w:r w:rsidRPr="00042EF7">
        <w:t>(</w:t>
      </w:r>
      <w:proofErr w:type="gramStart"/>
      <w:r>
        <w:rPr>
          <w:rFonts w:ascii="Cambria Math" w:hAnsi="Cambria Math" w:cs="Cambria Math"/>
        </w:rPr>
        <w:t>𝑄</w:t>
      </w:r>
      <w:r w:rsidRPr="00042EF7">
        <w:t>,</w:t>
      </w:r>
      <w:r>
        <w:rPr>
          <w:rFonts w:ascii="Cambria Math" w:hAnsi="Cambria Math" w:cs="Cambria Math"/>
        </w:rPr>
        <w:t>𝑞</w:t>
      </w:r>
      <w:proofErr w:type="gramEnd"/>
      <w:r w:rsidRPr="00042EF7">
        <w:t>,</w:t>
      </w:r>
      <w:r>
        <w:rPr>
          <w:rFonts w:ascii="Cambria Math" w:hAnsi="Cambria Math" w:cs="Cambria Math"/>
        </w:rPr>
        <w:t>𝑧</w:t>
      </w:r>
      <w:r w:rsidRPr="00042EF7">
        <w:rPr>
          <w:vertAlign w:val="subscript"/>
        </w:rPr>
        <w:t>0</w:t>
      </w:r>
      <w:r w:rsidRPr="00042EF7">
        <w:t>)=2</w:t>
      </w:r>
      <w:r w:rsidRPr="00042EF7">
        <w:rPr>
          <w:rFonts w:ascii="Cambria Math" w:hAnsi="Cambria Math" w:cs="Cambria Math"/>
        </w:rPr>
        <w:t>𝑄</w:t>
      </w:r>
      <w:r w:rsidRPr="00042EF7">
        <w:t>(1−</w:t>
      </w:r>
      <w:r w:rsidRPr="00042EF7">
        <w:rPr>
          <w:rFonts w:ascii="Cambria Math" w:hAnsi="Cambria Math" w:cs="Cambria Math"/>
        </w:rPr>
        <w:t>𝑞</w:t>
      </w:r>
      <w:r w:rsidRPr="00042EF7">
        <w:t>)cos</w:t>
      </w:r>
      <w:r>
        <w:t xml:space="preserve"> </w:t>
      </w:r>
      <w:r>
        <w:rPr>
          <w:rFonts w:ascii="Cambria Math" w:hAnsi="Cambria Math" w:cs="Cambria Math"/>
        </w:rPr>
        <w:t>𝑧</w:t>
      </w:r>
      <w:r w:rsidRPr="00042EF7">
        <w:rPr>
          <w:vertAlign w:val="subscript"/>
        </w:rPr>
        <w:t>0</w:t>
      </w:r>
      <w:r>
        <w:rPr>
          <w:vertAlign w:val="subscript"/>
        </w:rPr>
        <w:t xml:space="preserve"> </w:t>
      </w:r>
      <w:r w:rsidRPr="00042EF7">
        <w:t>+</w:t>
      </w:r>
      <w:r>
        <w:t xml:space="preserve"> </w:t>
      </w:r>
      <w:r w:rsidRPr="00042EF7">
        <w:t>0.554</w:t>
      </w:r>
      <w:r>
        <w:rPr>
          <w:rFonts w:ascii="Cambria Math" w:hAnsi="Cambria Math" w:cs="Cambria Math"/>
        </w:rPr>
        <w:t>𝑞𝑧</w:t>
      </w:r>
      <w:r w:rsidRPr="00042EF7">
        <w:rPr>
          <w:vertAlign w:val="subscript"/>
        </w:rPr>
        <w:t>0</w:t>
      </w:r>
      <w:r w:rsidRPr="00042EF7">
        <w:rPr>
          <w:vertAlign w:val="superscript"/>
        </w:rPr>
        <w:t>4</w:t>
      </w:r>
      <w:r w:rsidRPr="00042EF7">
        <w:t xml:space="preserve"> </w:t>
      </w:r>
    </w:p>
    <w:p w:rsidR="00042EF7" w:rsidRPr="00042EF7" w:rsidRDefault="00042EF7" w:rsidP="00042EF7"/>
    <w:p w:rsidR="00042EF7" w:rsidRDefault="00607E50" w:rsidP="00042EF7">
      <w:pPr>
        <w:pBdr>
          <w:bottom w:val="single" w:sz="6" w:space="1" w:color="auto"/>
        </w:pBdr>
      </w:pPr>
      <w:r w:rsidRPr="00607E50">
        <w:t xml:space="preserve">La quantità </w:t>
      </w:r>
      <w:r w:rsidRPr="00607E50">
        <w:rPr>
          <w:rFonts w:ascii="Cambria Math" w:hAnsi="Cambria Math" w:cs="Cambria Math"/>
        </w:rPr>
        <w:t>𝑄</w:t>
      </w:r>
      <w:r w:rsidRPr="00607E50">
        <w:t xml:space="preserve"> è la frazione della luce riflessa isotropicamente dal suolo, mentre </w:t>
      </w:r>
      <w:r>
        <w:t xml:space="preserve">q </w:t>
      </w:r>
      <w:r w:rsidRPr="00607E50">
        <w:t>è la frazione irradiata direttamente verso l'alto, in base all'angolo zenit (</w:t>
      </w:r>
      <w:r>
        <w:rPr>
          <w:rFonts w:ascii="Cambria Math" w:hAnsi="Cambria Math" w:cs="Cambria Math"/>
        </w:rPr>
        <w:t>𝑧</w:t>
      </w:r>
      <w:r w:rsidRPr="00607E50">
        <w:rPr>
          <w:vertAlign w:val="subscript"/>
        </w:rPr>
        <w:t>0</w:t>
      </w:r>
      <w:r w:rsidRPr="00607E50">
        <w:t>).</w:t>
      </w:r>
      <w:r w:rsidRPr="00607E50">
        <w:br/>
        <w:t>Kocifaj e Lamphar sottolineano la mancanza di validità nell'utilizzo della funzione originale di emissione di Garstang e propongono due funzioni modificate.</w:t>
      </w:r>
      <w:r w:rsidRPr="00607E50">
        <w:rPr>
          <w:vertAlign w:val="superscript"/>
        </w:rPr>
        <w:t>12,13</w:t>
      </w:r>
      <w:r w:rsidRPr="00607E50">
        <w:t xml:space="preserve"> </w:t>
      </w:r>
      <w:r>
        <w:t>Più criticamente, l</w:t>
      </w:r>
      <w:r w:rsidRPr="00607E50">
        <w:t xml:space="preserve">a funzione di Garstang sovrastima le emissioni a bassi angoli di elevazione, poiché queste emissioni vengono soppresse efficacemente (dagli ostacoli per i fasci che si propagano lungo traiettorie inclinate e proiezione di coseno per radiazioni incidenti su una superficie orientata orizzontalmente). Il problema con le emissioni sopravvalutate in angoli di elevata elevazione può intensificarsi quando si risolve l'equazione di trasferimento radiativo e quando la luminosità viene sostituita erroneamente dalla funzione di intensità radiante nelle condizioni del contorno. Nonostante i limiti con la </w:t>
      </w:r>
      <w:r>
        <w:t>Funzione di E</w:t>
      </w:r>
      <w:r w:rsidRPr="00607E50">
        <w:t>missione di Garstang (GEF), rimane la più frequentemente utilizzata e, fino a poco tempo fa, non esiste</w:t>
      </w:r>
      <w:r>
        <w:t>va</w:t>
      </w:r>
      <w:r w:rsidRPr="00607E50">
        <w:t xml:space="preserve"> una proposta</w:t>
      </w:r>
      <w:r>
        <w:t xml:space="preserve"> </w:t>
      </w:r>
      <w:r w:rsidRPr="00607E50">
        <w:t xml:space="preserve">sostitutiva </w:t>
      </w:r>
      <w:r>
        <w:t xml:space="preserve">di </w:t>
      </w:r>
      <w:r w:rsidRPr="00607E50">
        <w:t>formula analitica. Dato che SkyGlow Simulator si basa sul metodo dei successivi ordini di scattering con sorgenti luminose finite, GEF non è così critico e</w:t>
      </w:r>
      <w:r>
        <w:t xml:space="preserve"> </w:t>
      </w:r>
      <w:r w:rsidRPr="00607E50">
        <w:t xml:space="preserve">i problemi discussi sono di minore </w:t>
      </w:r>
      <w:r>
        <w:t>peso</w:t>
      </w:r>
      <w:r w:rsidRPr="00607E50">
        <w:t>.</w:t>
      </w:r>
      <w:r w:rsidRPr="00607E50">
        <w:rPr>
          <w:vertAlign w:val="superscript"/>
        </w:rPr>
        <w:t>14</w:t>
      </w:r>
      <w:r w:rsidRPr="00607E50">
        <w:t xml:space="preserve"> Al momento di questa ricerca, le sole funzioni di emissione della città disponibili in SkyGlow Simulatore era</w:t>
      </w:r>
      <w:r>
        <w:t>no</w:t>
      </w:r>
      <w:r w:rsidRPr="00607E50">
        <w:t xml:space="preserve"> coseno e Garstang.</w:t>
      </w:r>
    </w:p>
    <w:p w:rsidR="00607E50" w:rsidRDefault="00607E50" w:rsidP="00042EF7">
      <w:pPr>
        <w:pBdr>
          <w:bottom w:val="single" w:sz="6" w:space="1" w:color="auto"/>
        </w:pBdr>
      </w:pPr>
    </w:p>
    <w:p w:rsidR="00607E50" w:rsidRDefault="00607E50" w:rsidP="00042EF7">
      <w:pPr>
        <w:pBdr>
          <w:bottom w:val="single" w:sz="6" w:space="1" w:color="auto"/>
        </w:pBdr>
      </w:pPr>
    </w:p>
    <w:p w:rsidR="00042EF7" w:rsidRPr="00042EF7" w:rsidRDefault="00042EF7" w:rsidP="00042EF7">
      <w:r w:rsidRPr="00042EF7">
        <w:t xml:space="preserve">12 M. Kocifaj and H. A. Solano Lamphar. ‘Angular Emission Function of a City and Skyglow Modeling: A Critical Perspective.’ </w:t>
      </w:r>
      <w:r w:rsidRPr="00042EF7">
        <w:rPr>
          <w:i/>
          <w:iCs/>
        </w:rPr>
        <w:t>Publications of the Astronomical Society of the Pacific</w:t>
      </w:r>
      <w:r w:rsidRPr="00042EF7">
        <w:t xml:space="preserve">, vol. 128, no. 970, 2016: http://iopscience.iop.org/article/10.1088/1538-3873/128/970/124001/meta. </w:t>
      </w:r>
    </w:p>
    <w:p w:rsidR="00042EF7" w:rsidRPr="00042EF7" w:rsidRDefault="00042EF7" w:rsidP="00042EF7">
      <w:r w:rsidRPr="00042EF7">
        <w:t xml:space="preserve">13 M. Kocifaj. ‘Retrieval of angular emission function from whole-city light sources using night-sky brightness measurements.’ </w:t>
      </w:r>
      <w:r w:rsidRPr="00042EF7">
        <w:rPr>
          <w:i/>
          <w:iCs/>
        </w:rPr>
        <w:t>Optica</w:t>
      </w:r>
      <w:r w:rsidRPr="00042EF7">
        <w:t xml:space="preserve">, vol. 4, no. 2, 2017, pp. 255-262: https://doi.org/10.1364/OPTICA.4.000255. </w:t>
      </w:r>
    </w:p>
    <w:p w:rsidR="00607E50" w:rsidRDefault="00042EF7" w:rsidP="00042EF7">
      <w:r w:rsidRPr="00042EF7">
        <w:t xml:space="preserve">14 The Method of Successive Orders of Scattering (MSOS) models the intensity of the scattered signal through a series expansion of many successive orders. While </w:t>
      </w:r>
      <w:r w:rsidRPr="00042EF7">
        <w:rPr>
          <w:i/>
          <w:iCs/>
        </w:rPr>
        <w:t xml:space="preserve">SkyGlow Simulator </w:t>
      </w:r>
      <w:r w:rsidRPr="00042EF7">
        <w:t xml:space="preserve">is based on the MSOS, only the first order, single scattering, is utilized.  </w:t>
      </w:r>
    </w:p>
    <w:p w:rsidR="00607E50" w:rsidRDefault="00607E50"/>
    <w:p w:rsidR="00607E50" w:rsidRDefault="00607E50"/>
    <w:p w:rsidR="00607E50" w:rsidRDefault="00607E50">
      <w:r w:rsidRPr="00607E50">
        <w:t xml:space="preserve">Le varie condizioni atmosferiche possono essere analizzate nel modello, compreso il cielo </w:t>
      </w:r>
      <w:r>
        <w:t>senza buvole</w:t>
      </w:r>
      <w:r w:rsidRPr="00607E50">
        <w:t xml:space="preserve">, </w:t>
      </w:r>
      <w:r w:rsidR="00672621">
        <w:t>velato</w:t>
      </w:r>
      <w:r w:rsidRPr="00607E50">
        <w:t xml:space="preserve"> e nuvoloso. La probabilità che un fotone </w:t>
      </w:r>
      <w:r w:rsidR="00672621">
        <w:t>sia</w:t>
      </w:r>
      <w:r w:rsidRPr="00607E50">
        <w:t xml:space="preserve"> </w:t>
      </w:r>
      <w:r w:rsidR="00672621">
        <w:t>disperso</w:t>
      </w:r>
      <w:r w:rsidRPr="00607E50">
        <w:t xml:space="preserve"> nell'angolo solido di osservazione dipende dalle proprietà ottiche dell'atmosfera, caratterizzate da funzioni di fase di dispersione. Le particelle aerosoliche e le molecole d'aria sono i più importanti componenti atmosferici responsabili della dispersione e dell'attenuazione della radiazione visibile. Così, la funzione di trasmissione complessiva riflette le proprietà ottiche (assorbimento, estinzione, dispersione) dell'atmosfera molecolare-aerosol. La funzione di fase per la dispersione molecolare viene espressa in modo analitico mentre quella per gli aerosol viene ottenuta numericamente; qui la dispersione molecolare viene simulata secondo la teoria di Rayleigh e la dispersione di aerosol è approssimata dalla funzione di Henyey-Greenstein. Gli aerosol sono uno dei costituenti atmosferici più instabili in quanto la loro distribuzione spaziale dipende dalle proprietà microfisiche degli aerosol stessi (distribuzioni di dimensioni / forme, indice di rifrazione e composizione chimica). È quindi necessario un insieme di caratteristiche (ad esempio, parametro </w:t>
      </w:r>
      <w:r w:rsidR="00672621">
        <w:t xml:space="preserve">di </w:t>
      </w:r>
      <w:r w:rsidRPr="00607E50">
        <w:t xml:space="preserve">asimmetria, </w:t>
      </w:r>
      <w:r w:rsidR="00672621" w:rsidRPr="00607E50">
        <w:t>dispersione</w:t>
      </w:r>
      <w:r w:rsidR="00672621" w:rsidRPr="00672621">
        <w:t xml:space="preserve"> </w:t>
      </w:r>
      <w:r w:rsidR="00672621">
        <w:t>singola di</w:t>
      </w:r>
      <w:r w:rsidR="00672621" w:rsidRPr="00607E50">
        <w:t xml:space="preserve"> </w:t>
      </w:r>
      <w:r w:rsidRPr="00607E50">
        <w:t>albedo, spessore ottico dei componenti) per la rappresentazione più accurata, ma la maggior parte dei modelli esistenti è semplificata in uno stato medio dell'atmosfera.</w:t>
      </w:r>
      <w:r w:rsidRPr="00607E50">
        <w:br/>
      </w:r>
      <w:r w:rsidRPr="00607E50">
        <w:br/>
        <w:t>Il flusso radiativo dovuto alla dispersione in un'atmosfera senza nuvole (o nella regione sottostante le nuvole) viene calcolata separatamente dal flusso radiante diretto da una nuvola all'osservatore, sulla base della riflessione spettrale della nuvola.</w:t>
      </w:r>
      <w:r w:rsidRPr="00672621">
        <w:rPr>
          <w:vertAlign w:val="superscript"/>
        </w:rPr>
        <w:t>15</w:t>
      </w:r>
      <w:r w:rsidRPr="00607E50">
        <w:t xml:space="preserve"> L'intensità totale (somma di nube e nuvoloso, </w:t>
      </w:r>
      <w:r w:rsidR="00672621">
        <w:t>dove applicabile) è calcolata</w:t>
      </w:r>
      <w:r w:rsidRPr="00607E50">
        <w:t xml:space="preserve"> per angolo di zenith (forte correlazione) e azimut (debole dipendenza), con conseguente distribuzione angolare del </w:t>
      </w:r>
      <w:r w:rsidR="00672621">
        <w:t>chiarore</w:t>
      </w:r>
      <w:r w:rsidRPr="00607E50">
        <w:t xml:space="preserve"> del cielo che è non ponderato (radian</w:t>
      </w:r>
      <w:r w:rsidR="00672621">
        <w:t>za, W/</w:t>
      </w:r>
      <w:r w:rsidRPr="00607E50">
        <w:t>m</w:t>
      </w:r>
      <w:r w:rsidRPr="00672621">
        <w:rPr>
          <w:vertAlign w:val="superscript"/>
        </w:rPr>
        <w:t>2</w:t>
      </w:r>
      <w:r w:rsidR="00672621">
        <w:t>/</w:t>
      </w:r>
      <w:r w:rsidRPr="00607E50">
        <w:t>sr) o ponderato (</w:t>
      </w:r>
      <w:r w:rsidR="00672621" w:rsidRPr="00607E50">
        <w:t>luminanza</w:t>
      </w:r>
      <w:r w:rsidR="00672621">
        <w:t xml:space="preserve"> </w:t>
      </w:r>
      <w:r w:rsidRPr="00607E50">
        <w:t>scotopic</w:t>
      </w:r>
      <w:r w:rsidR="00672621">
        <w:t>a, scotopica cd/</w:t>
      </w:r>
      <w:r w:rsidRPr="00607E50">
        <w:t>m</w:t>
      </w:r>
      <w:r w:rsidRPr="00672621">
        <w:rPr>
          <w:vertAlign w:val="superscript"/>
        </w:rPr>
        <w:t>2</w:t>
      </w:r>
      <w:r w:rsidRPr="00607E50">
        <w:t>). La distribuzione angolare è rappresentata da una trama polare (Figura 8).</w:t>
      </w:r>
    </w:p>
    <w:p w:rsidR="000D6BEF" w:rsidRDefault="000D6BEF"/>
    <w:p w:rsidR="000D6BEF" w:rsidRDefault="000D6BEF" w:rsidP="000D6BEF">
      <w:pPr>
        <w:keepNext/>
        <w:jc w:val="center"/>
      </w:pPr>
      <w:r w:rsidRPr="000D6BEF">
        <w:rPr>
          <w:noProof/>
          <w:lang w:eastAsia="it-IT"/>
        </w:rPr>
        <w:drawing>
          <wp:inline distT="0" distB="0" distL="0" distR="0">
            <wp:extent cx="3114675" cy="2922905"/>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922905"/>
                    </a:xfrm>
                    <a:prstGeom prst="rect">
                      <a:avLst/>
                    </a:prstGeom>
                    <a:noFill/>
                    <a:ln>
                      <a:noFill/>
                    </a:ln>
                  </pic:spPr>
                </pic:pic>
              </a:graphicData>
            </a:graphic>
          </wp:inline>
        </w:drawing>
      </w:r>
    </w:p>
    <w:p w:rsidR="000D6BEF" w:rsidRDefault="000D6BEF" w:rsidP="000D6BEF">
      <w:pPr>
        <w:pStyle w:val="Didascalia"/>
        <w:jc w:val="center"/>
      </w:pPr>
      <w:r>
        <w:t>Figura</w:t>
      </w:r>
      <w:r w:rsidRPr="000626EB">
        <w:t xml:space="preserve"> 8 Sky glow polar plot. </w:t>
      </w:r>
      <w:r>
        <w:t>Le iso</w:t>
      </w:r>
      <w:r w:rsidRPr="000626EB">
        <w:t>Iin</w:t>
      </w:r>
      <w:r>
        <w:t>e</w:t>
      </w:r>
      <w:r w:rsidRPr="000626EB">
        <w:t xml:space="preserve">e </w:t>
      </w:r>
      <w:r>
        <w:t xml:space="preserve">sono mostrate </w:t>
      </w:r>
      <w:r w:rsidRPr="000626EB">
        <w:t xml:space="preserve">in </w:t>
      </w:r>
      <w:r>
        <w:t xml:space="preserve">scala </w:t>
      </w:r>
      <w:r w:rsidRPr="000626EB">
        <w:t>logaritmic</w:t>
      </w:r>
      <w:r>
        <w:t>a</w:t>
      </w:r>
      <w:r w:rsidRPr="000626EB">
        <w:t xml:space="preserve"> </w:t>
      </w:r>
      <w:r>
        <w:t>per rappresentare variazioni di luminanza di ordini di magnitudo</w:t>
      </w:r>
      <w:r w:rsidRPr="000626EB">
        <w:t xml:space="preserve">. </w:t>
      </w:r>
      <w:r>
        <w:t>Gli angoli sul cerchio rappresentano gli azimuth</w:t>
      </w:r>
      <w:r w:rsidRPr="000626EB">
        <w:t xml:space="preserve"> </w:t>
      </w:r>
      <w:r>
        <w:t xml:space="preserve">del cielo, mentre gli angoli di </w:t>
      </w:r>
      <w:r w:rsidRPr="000626EB">
        <w:t xml:space="preserve">zenith </w:t>
      </w:r>
      <w:r>
        <w:t>sono misurati a partire dal centro verso il margine.</w:t>
      </w:r>
    </w:p>
    <w:p w:rsidR="000D6BEF" w:rsidRDefault="000D6BEF"/>
    <w:p w:rsidR="00737E80" w:rsidRDefault="00BC6EB9">
      <w:r w:rsidRPr="00BC6EB9">
        <w:t>Le uscite aggiuntive includono l'irradianza diffusa (W / m</w:t>
      </w:r>
      <w:r w:rsidRPr="00BC6EB9">
        <w:rPr>
          <w:vertAlign w:val="superscript"/>
        </w:rPr>
        <w:t>2</w:t>
      </w:r>
      <w:r w:rsidRPr="00BC6EB9">
        <w:t>) o l'il</w:t>
      </w:r>
      <w:r>
        <w:t>luminazione scotopica (scotopic cd/m</w:t>
      </w:r>
      <w:r w:rsidRPr="00BC6EB9">
        <w:rPr>
          <w:vertAlign w:val="superscript"/>
        </w:rPr>
        <w:t>2</w:t>
      </w:r>
      <w:r w:rsidRPr="00BC6EB9">
        <w:t>/ sr o scotopic-lux) sulla superficie orizzontale e il rapporto di luminosità zenit o luminanza per diffondere l'</w:t>
      </w:r>
      <w:r w:rsidR="00737E80">
        <w:t>irradianza o l'illuminazione (1</w:t>
      </w:r>
      <w:r w:rsidRPr="00BC6EB9">
        <w:t>/sr). Il valore diffus</w:t>
      </w:r>
      <w:r w:rsidR="00737E80">
        <w:t>o di irraggiamento</w:t>
      </w:r>
      <w:r w:rsidRPr="00BC6EB9">
        <w:t>/illuminazione orizzontale è assoc</w:t>
      </w:r>
      <w:r w:rsidR="00737E80">
        <w:t>iato al flusso luminoso globale/</w:t>
      </w:r>
      <w:r w:rsidRPr="00BC6EB9">
        <w:t>radiativo diretto all'osservatore, indipendente dalla direzione in cui viene propagato il fascio luminoso. Questo valore non co</w:t>
      </w:r>
      <w:r w:rsidR="00737E80">
        <w:t>ntiene quindi informazioni sui</w:t>
      </w:r>
      <w:r w:rsidRPr="00BC6EB9">
        <w:t xml:space="preserve"> fasci luminose </w:t>
      </w:r>
      <w:r w:rsidR="00737E80">
        <w:t xml:space="preserve">prevalenti. </w:t>
      </w:r>
    </w:p>
    <w:p w:rsidR="00737E80" w:rsidRDefault="00737E80">
      <w:pPr>
        <w:pBdr>
          <w:bottom w:val="single" w:sz="6" w:space="1" w:color="auto"/>
        </w:pBdr>
      </w:pPr>
    </w:p>
    <w:p w:rsidR="00737E80" w:rsidRDefault="00737E80" w:rsidP="00737E80">
      <w:r>
        <w:t xml:space="preserve">15 </w:t>
      </w:r>
      <w:r w:rsidRPr="00BC6EB9">
        <w:t>Questa teoria può essere utilizzata solo per i cieli parzialmente nuvolosi come il contributo della luce riflessa dipende dalla forma della nuvola; l'area proiettata in una superficie di nuvola cambia con l'orientamento del vettore normale alla superficie; quindi l'implementazione numerica deve essere migliorata per accettare relazioni geometriche.</w:t>
      </w:r>
    </w:p>
    <w:p w:rsidR="00737E80" w:rsidRDefault="00737E80"/>
    <w:p w:rsidR="00737E80" w:rsidRDefault="00737E80"/>
    <w:p w:rsidR="00BC6EB9" w:rsidRDefault="00737E80">
      <w:r>
        <w:t>La radiazione luminosa/</w:t>
      </w:r>
      <w:r w:rsidR="00BC6EB9" w:rsidRPr="00BC6EB9">
        <w:t>luminanza rispetto all'</w:t>
      </w:r>
      <w:r>
        <w:t>irradianza/</w:t>
      </w:r>
      <w:r w:rsidRPr="00737E80">
        <w:t>illuminazione</w:t>
      </w:r>
      <w:r>
        <w:t xml:space="preserve"> </w:t>
      </w:r>
      <w:r w:rsidRPr="00BC6EB9">
        <w:t>orizzontale</w:t>
      </w:r>
      <w:r w:rsidRPr="00737E80">
        <w:t>, tuttavia, è inversamente proporzionale al steradian</w:t>
      </w:r>
      <w:r>
        <w:t>te</w:t>
      </w:r>
      <w:r w:rsidRPr="00737E80">
        <w:t xml:space="preserve"> e può mostrare quanto cambia lo stato del cielo con la distanza da una città o da un </w:t>
      </w:r>
      <w:r>
        <w:t>borgo</w:t>
      </w:r>
      <w:r w:rsidRPr="00737E80">
        <w:t xml:space="preserve">, </w:t>
      </w:r>
      <w:r w:rsidRPr="00737E80">
        <w:lastRenderedPageBreak/>
        <w:t>soprattutto a brevi distanze (ad esempio, fino ad alcuni raggi dal centro della città). Questo studio ha analizzato esclusivamente i valori di irraggiamento diffuso e di illuminazione sulla superficie orizzontale.</w:t>
      </w:r>
      <w:r w:rsidRPr="00737E80">
        <w:rPr>
          <w:vertAlign w:val="superscript"/>
        </w:rPr>
        <w:t>16</w:t>
      </w:r>
    </w:p>
    <w:p w:rsidR="00737E80" w:rsidRDefault="00737E80"/>
    <w:p w:rsidR="008862E1" w:rsidRDefault="008862E1" w:rsidP="008862E1">
      <w:pPr>
        <w:pStyle w:val="Titolo2"/>
      </w:pPr>
      <w:r w:rsidRPr="008862E1">
        <w:t>4.2 Convalida</w:t>
      </w:r>
    </w:p>
    <w:p w:rsidR="008862E1" w:rsidRDefault="008862E1">
      <w:r w:rsidRPr="008862E1">
        <w:t>Tre fasi di convalida per i modelli di glow sky includono:</w:t>
      </w:r>
    </w:p>
    <w:p w:rsidR="008862E1" w:rsidRDefault="008862E1" w:rsidP="008862E1">
      <w:pPr>
        <w:pStyle w:val="Paragrafoelenco"/>
        <w:numPr>
          <w:ilvl w:val="1"/>
          <w:numId w:val="6"/>
        </w:numPr>
      </w:pPr>
      <w:r w:rsidRPr="008862E1">
        <w:t>confronto di un modello complesso con un modello più semplice ma convalidato</w:t>
      </w:r>
    </w:p>
    <w:p w:rsidR="008862E1" w:rsidRDefault="008862E1" w:rsidP="008862E1">
      <w:pPr>
        <w:pStyle w:val="Paragrafoelenco"/>
        <w:numPr>
          <w:ilvl w:val="1"/>
          <w:numId w:val="6"/>
        </w:numPr>
      </w:pPr>
      <w:r w:rsidRPr="008862E1">
        <w:t>condurre studi di sensibilità per verificare se il modello predice un comportamento ben noto del fenomeno o per ottenere una comprensione intuitiva del suo complesso comportamento non lineare</w:t>
      </w:r>
    </w:p>
    <w:p w:rsidR="008862E1" w:rsidRDefault="008862E1" w:rsidP="008862E1">
      <w:pPr>
        <w:pStyle w:val="Paragrafoelenco"/>
        <w:numPr>
          <w:ilvl w:val="1"/>
          <w:numId w:val="6"/>
        </w:numPr>
      </w:pPr>
      <w:r w:rsidRPr="008862E1">
        <w:t>confronto dei valori calcolati con misurazioni effettive</w:t>
      </w:r>
    </w:p>
    <w:p w:rsidR="008862E1" w:rsidRDefault="008862E1" w:rsidP="008862E1"/>
    <w:p w:rsidR="005F7DBE" w:rsidRDefault="008862E1" w:rsidP="008862E1">
      <w:pPr>
        <w:pBdr>
          <w:bottom w:val="single" w:sz="6" w:space="1" w:color="auto"/>
        </w:pBdr>
      </w:pPr>
      <w:r w:rsidRPr="008862E1">
        <w:t>SkyGlow Simulator (precedentemente indicato MSNsR</w:t>
      </w:r>
      <w:r w:rsidRPr="008862E1">
        <w:rPr>
          <w:vertAlign w:val="subscript"/>
        </w:rPr>
        <w:t>Au</w:t>
      </w:r>
      <w:r w:rsidRPr="008862E1">
        <w:t>) è stato confrontato con ILLUMINA nel 2012 ed è risultato essere:</w:t>
      </w:r>
      <w:r w:rsidRPr="008862E1">
        <w:br/>
        <w:t>"... ottimizzato per simulazioni su larga scala. In particolare, la dimensione della griglia viene adattata dinamicamente a seconda della distanza tra una sorgente luminosa e un osservatore ipotetico. Ciò consente una rapida modellazione numerica per i grandi territori. MSNsR</w:t>
      </w:r>
      <w:r w:rsidRPr="008862E1">
        <w:rPr>
          <w:vertAlign w:val="subscript"/>
        </w:rPr>
        <w:t>Au</w:t>
      </w:r>
      <w:r w:rsidRPr="008862E1">
        <w:t xml:space="preserve"> è anche adatto per la modellazione di massa dei radianti del cielo notturno dopo che le sorgenti luminose a terra sono ipoteticamente modificate. Ciò consente una progettazione ottimale dei sistemi di illuminazione pubblica e una valutazione in tempo reale degli effetti ottici relativi a diversi spettri di lampade o di diverse distribuzioni di lampade ... Quindi una scelta di un modello appropriato dipende principalmente dalla AOD [</w:t>
      </w:r>
      <w:r w:rsidR="005F7DBE">
        <w:t>A</w:t>
      </w:r>
      <w:r w:rsidRPr="008862E1">
        <w:t>erosol</w:t>
      </w:r>
      <w:r w:rsidR="005F7DBE">
        <w:t xml:space="preserve"> Optical Depth</w:t>
      </w:r>
      <w:r w:rsidRPr="008862E1">
        <w:t>] e dai requisiti della CPU ".</w:t>
      </w:r>
      <w:r w:rsidRPr="005F7DBE">
        <w:rPr>
          <w:vertAlign w:val="superscript"/>
        </w:rPr>
        <w:t xml:space="preserve"> 17</w:t>
      </w:r>
      <w:r w:rsidRPr="008862E1">
        <w:br/>
        <w:t>Il secondo e il terzo passaggio sono stati affrontati attraverso un'indagine sull'impatto delle varie distribuzioni spaziali e spettrali delle lampade a terra sulla radiazione spettrale cielo spettrale emisferica per diverse distanze di osservazione in due osservatori: Vartovka e Stará Lesná in Slovacchia.</w:t>
      </w:r>
      <w:r w:rsidRPr="005F7DBE">
        <w:rPr>
          <w:vertAlign w:val="superscript"/>
        </w:rPr>
        <w:t>18</w:t>
      </w:r>
      <w:r w:rsidRPr="008862E1">
        <w:t xml:space="preserve"> Le misurazioni sono state effettuate a Frýdek- Místek nell'agosto 2009, che ha verificato e convalidato l</w:t>
      </w:r>
      <w:r w:rsidR="005F7DBE">
        <w:t>e prestazioni</w:t>
      </w:r>
      <w:r w:rsidRPr="008862E1">
        <w:t xml:space="preserve"> </w:t>
      </w:r>
      <w:r w:rsidR="005F7DBE">
        <w:t>della simulazione</w:t>
      </w:r>
      <w:r w:rsidRPr="008862E1">
        <w:t xml:space="preserve"> (Figura 9): "</w:t>
      </w:r>
      <w:r w:rsidR="005F7DBE">
        <w:t>Se si tiene</w:t>
      </w:r>
      <w:r w:rsidRPr="008862E1">
        <w:t xml:space="preserve"> presente che il focus del modello non è su valori assoluti in mcd / m2, ma sulla luminanza (normalizzata) del cielo ... </w:t>
      </w:r>
      <w:r w:rsidR="005F7DBE">
        <w:t>si scopre che la teoria si</w:t>
      </w:r>
      <w:r w:rsidRPr="008862E1">
        <w:t xml:space="preserve"> adatta </w:t>
      </w:r>
      <w:r w:rsidR="005F7DBE" w:rsidRPr="008862E1">
        <w:t xml:space="preserve">molto bene </w:t>
      </w:r>
      <w:r w:rsidR="005F7DBE">
        <w:t>al</w:t>
      </w:r>
      <w:r w:rsidRPr="008862E1">
        <w:t>la luminosità misurata</w:t>
      </w:r>
      <w:r w:rsidR="005F7DBE">
        <w:t>,</w:t>
      </w:r>
      <w:r w:rsidRPr="008862E1">
        <w:t xml:space="preserve"> poiché la deviazione media σ è inferiore al 2%. "</w:t>
      </w:r>
      <w:r w:rsidRPr="005F7DBE">
        <w:rPr>
          <w:vertAlign w:val="superscript"/>
        </w:rPr>
        <w:t>19</w:t>
      </w:r>
    </w:p>
    <w:p w:rsidR="005F7DBE" w:rsidRDefault="005F7DBE" w:rsidP="008862E1">
      <w:pPr>
        <w:pBdr>
          <w:bottom w:val="single" w:sz="6" w:space="1" w:color="auto"/>
        </w:pBdr>
      </w:pPr>
    </w:p>
    <w:p w:rsidR="005F7DBE" w:rsidRDefault="005F7DBE" w:rsidP="008862E1">
      <w:pPr>
        <w:pBdr>
          <w:bottom w:val="single" w:sz="6" w:space="1" w:color="auto"/>
        </w:pBdr>
      </w:pPr>
    </w:p>
    <w:p w:rsidR="005F7DBE" w:rsidRDefault="005F7DBE" w:rsidP="008862E1">
      <w:pPr>
        <w:pBdr>
          <w:bottom w:val="single" w:sz="6" w:space="1" w:color="auto"/>
        </w:pBdr>
      </w:pPr>
    </w:p>
    <w:p w:rsidR="005F7DBE" w:rsidRDefault="005F7DBE" w:rsidP="008862E1">
      <w:pPr>
        <w:pBdr>
          <w:bottom w:val="single" w:sz="6" w:space="1" w:color="auto"/>
        </w:pBdr>
      </w:pPr>
    </w:p>
    <w:p w:rsidR="005F7DBE" w:rsidRDefault="005F7DBE" w:rsidP="008862E1"/>
    <w:p w:rsidR="00737E80" w:rsidRDefault="008862E1" w:rsidP="008862E1">
      <w:r w:rsidRPr="008862E1">
        <w:t>16 M. Kocifaj. 'Ricollocamento della funzione di emissione angolare dalle sorgenti luminose di tutta la città utilizzando le misurazioni della luminosità di notte.' Optica, vol. 4, no. 2, 2017, pp. 255-262: https://doi.org/10.1364/OPTICA.4.000255.</w:t>
      </w:r>
      <w:r w:rsidRPr="008862E1">
        <w:br/>
        <w:t>17 M. Aube e M. Kocifaj. "Utilizzando due modelli di inquinamento luminoso per indagare i radianti artificiali del cielo sugli osservatori delle isole Canarie." Comunicazioni mensili della Royal Astronomical Society, vol. 422, 2012, pp. 819-830.</w:t>
      </w:r>
      <w:r w:rsidRPr="008862E1">
        <w:br/>
        <w:t>18 M. Kocifaj, M. Aube e I. Kohut. «L'effetto dell'eterogeneità spaziale e spettrale delle sorgenti luminose a terra sui radianti del cielo notturno». Avvisi mensili della Royal Astronomical Society, vol. 409, 2010, pp. 1203-1212.</w:t>
      </w:r>
      <w:r w:rsidRPr="008862E1">
        <w:br/>
        <w:t>19 M. Kocifaj. 'Illuminazione del cielo notturno in condizioni di cielo chiaro: teoria vs esperimento'. Giornale di Spettroscopia Quantitativa e Trasferimento Radiativo, vol. 139, 2014, pp. 43-51.</w:t>
      </w:r>
    </w:p>
    <w:p w:rsidR="00DE147B" w:rsidRDefault="00DE147B" w:rsidP="008862E1"/>
    <w:p w:rsidR="00A14B94" w:rsidRDefault="00A14B94" w:rsidP="008862E1"/>
    <w:p w:rsidR="00A14B94" w:rsidRDefault="00A14B94" w:rsidP="008862E1"/>
    <w:p w:rsidR="00607E50" w:rsidRDefault="00607E50">
      <w:r>
        <w:br w:type="page"/>
      </w:r>
    </w:p>
    <w:p w:rsidR="00042EF7" w:rsidRDefault="00042EF7" w:rsidP="00042EF7"/>
    <w:p w:rsidR="00A14B94" w:rsidRDefault="00A14B94" w:rsidP="00A14B94">
      <w:pPr>
        <w:jc w:val="center"/>
      </w:pPr>
      <w:r w:rsidRPr="00A14B94">
        <w:rPr>
          <w:noProof/>
          <w:lang w:eastAsia="it-IT"/>
        </w:rPr>
        <w:drawing>
          <wp:inline distT="0" distB="0" distL="0" distR="0">
            <wp:extent cx="4267147" cy="2006600"/>
            <wp:effectExtent l="0" t="0" r="635"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2901" cy="2009306"/>
                    </a:xfrm>
                    <a:prstGeom prst="rect">
                      <a:avLst/>
                    </a:prstGeom>
                    <a:noFill/>
                    <a:ln>
                      <a:noFill/>
                    </a:ln>
                  </pic:spPr>
                </pic:pic>
              </a:graphicData>
            </a:graphic>
          </wp:inline>
        </w:drawing>
      </w:r>
      <w:r w:rsidRPr="00A14B94">
        <w:rPr>
          <w:noProof/>
          <w:lang w:eastAsia="it-IT"/>
        </w:rPr>
        <w:drawing>
          <wp:inline distT="0" distB="0" distL="0" distR="0">
            <wp:extent cx="2019600" cy="2005200"/>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600" cy="2005200"/>
                    </a:xfrm>
                    <a:prstGeom prst="rect">
                      <a:avLst/>
                    </a:prstGeom>
                    <a:noFill/>
                    <a:ln>
                      <a:noFill/>
                    </a:ln>
                  </pic:spPr>
                </pic:pic>
              </a:graphicData>
            </a:graphic>
          </wp:inline>
        </w:drawing>
      </w:r>
    </w:p>
    <w:p w:rsidR="00A14B94" w:rsidRPr="00A14B94" w:rsidRDefault="00A14B94" w:rsidP="00A14B94">
      <w:pPr>
        <w:jc w:val="center"/>
      </w:pPr>
      <w:r>
        <w:rPr>
          <w:b/>
          <w:bCs/>
        </w:rPr>
        <w:t>Figura</w:t>
      </w:r>
      <w:r w:rsidRPr="00A14B94">
        <w:rPr>
          <w:b/>
          <w:bCs/>
        </w:rPr>
        <w:t xml:space="preserve"> 9 </w:t>
      </w:r>
      <w:r>
        <w:rPr>
          <w:b/>
          <w:bCs/>
        </w:rPr>
        <w:t xml:space="preserve">Da sinistra a destra: </w:t>
      </w:r>
      <w:r w:rsidRPr="00A14B94">
        <w:rPr>
          <w:b/>
          <w:bCs/>
        </w:rPr>
        <w:t>m</w:t>
      </w:r>
      <w:r>
        <w:rPr>
          <w:b/>
          <w:bCs/>
        </w:rPr>
        <w:t>i</w:t>
      </w:r>
      <w:r w:rsidRPr="00A14B94">
        <w:rPr>
          <w:b/>
          <w:bCs/>
        </w:rPr>
        <w:t>sure</w:t>
      </w:r>
      <w:r>
        <w:rPr>
          <w:b/>
          <w:bCs/>
        </w:rPr>
        <w:t xml:space="preserve"> della</w:t>
      </w:r>
      <w:r w:rsidRPr="00A14B94">
        <w:rPr>
          <w:b/>
          <w:bCs/>
        </w:rPr>
        <w:t xml:space="preserve"> </w:t>
      </w:r>
      <w:r>
        <w:rPr>
          <w:b/>
          <w:bCs/>
        </w:rPr>
        <w:t>luminanza</w:t>
      </w:r>
      <w:r w:rsidRPr="00A14B94">
        <w:rPr>
          <w:b/>
          <w:bCs/>
        </w:rPr>
        <w:t xml:space="preserve"> </w:t>
      </w:r>
      <w:r>
        <w:rPr>
          <w:b/>
          <w:bCs/>
        </w:rPr>
        <w:t>normalizzata</w:t>
      </w:r>
      <w:r w:rsidRPr="00A14B94">
        <w:rPr>
          <w:b/>
          <w:bCs/>
        </w:rPr>
        <w:t xml:space="preserve"> </w:t>
      </w:r>
      <w:r>
        <w:rPr>
          <w:b/>
          <w:bCs/>
        </w:rPr>
        <w:t>allo zenith</w:t>
      </w:r>
      <w:r w:rsidRPr="00A14B94">
        <w:rPr>
          <w:b/>
          <w:bCs/>
        </w:rPr>
        <w:t xml:space="preserve">, </w:t>
      </w:r>
      <w:r>
        <w:rPr>
          <w:b/>
          <w:bCs/>
        </w:rPr>
        <w:t>dati ri</w:t>
      </w:r>
      <w:r w:rsidRPr="00A14B94">
        <w:rPr>
          <w:b/>
          <w:bCs/>
        </w:rPr>
        <w:t>constru</w:t>
      </w:r>
      <w:r>
        <w:rPr>
          <w:b/>
          <w:bCs/>
        </w:rPr>
        <w:t>i</w:t>
      </w:r>
      <w:r w:rsidRPr="00A14B94">
        <w:rPr>
          <w:b/>
          <w:bCs/>
        </w:rPr>
        <w:t>t</w:t>
      </w:r>
      <w:r>
        <w:rPr>
          <w:b/>
          <w:bCs/>
        </w:rPr>
        <w:t>i</w:t>
      </w:r>
      <w:r w:rsidRPr="00A14B94">
        <w:rPr>
          <w:b/>
          <w:bCs/>
        </w:rPr>
        <w:t xml:space="preserve"> </w:t>
      </w:r>
      <w:r>
        <w:rPr>
          <w:b/>
          <w:bCs/>
        </w:rPr>
        <w:t>della</w:t>
      </w:r>
      <w:r w:rsidRPr="00A14B94">
        <w:rPr>
          <w:b/>
          <w:bCs/>
        </w:rPr>
        <w:t xml:space="preserve"> </w:t>
      </w:r>
      <w:r>
        <w:rPr>
          <w:b/>
          <w:bCs/>
        </w:rPr>
        <w:t>luminanza</w:t>
      </w:r>
      <w:r w:rsidRPr="00A14B94">
        <w:rPr>
          <w:b/>
          <w:bCs/>
        </w:rPr>
        <w:t xml:space="preserve"> </w:t>
      </w:r>
      <w:r>
        <w:rPr>
          <w:b/>
          <w:bCs/>
        </w:rPr>
        <w:t>normalizzata</w:t>
      </w:r>
      <w:r w:rsidRPr="00A14B94">
        <w:rPr>
          <w:b/>
          <w:bCs/>
        </w:rPr>
        <w:t xml:space="preserve"> </w:t>
      </w:r>
      <w:r>
        <w:rPr>
          <w:b/>
          <w:bCs/>
        </w:rPr>
        <w:t>allo zenith</w:t>
      </w:r>
      <w:r w:rsidRPr="00A14B94">
        <w:rPr>
          <w:b/>
          <w:bCs/>
        </w:rPr>
        <w:t xml:space="preserve">, </w:t>
      </w:r>
      <w:r>
        <w:rPr>
          <w:b/>
          <w:bCs/>
        </w:rPr>
        <w:t xml:space="preserve">indici e </w:t>
      </w:r>
      <w:r w:rsidRPr="00A14B94">
        <w:rPr>
          <w:b/>
          <w:bCs/>
        </w:rPr>
        <w:t>posi</w:t>
      </w:r>
      <w:r>
        <w:rPr>
          <w:b/>
          <w:bCs/>
        </w:rPr>
        <w:t>zioni</w:t>
      </w:r>
      <w:r w:rsidRPr="00A14B94">
        <w:rPr>
          <w:b/>
          <w:bCs/>
        </w:rPr>
        <w:t xml:space="preserve"> </w:t>
      </w:r>
      <w:r>
        <w:rPr>
          <w:b/>
          <w:bCs/>
        </w:rPr>
        <w:t>delle porzioni di cielo misurate</w:t>
      </w:r>
      <w:r w:rsidRPr="00A14B94">
        <w:rPr>
          <w:b/>
          <w:bCs/>
        </w:rPr>
        <w:t xml:space="preserve"> (</w:t>
      </w:r>
      <w:r>
        <w:rPr>
          <w:b/>
          <w:bCs/>
        </w:rPr>
        <w:t>ovvero dove sono state eseguite le misure</w:t>
      </w:r>
      <w:r w:rsidRPr="00A14B94">
        <w:rPr>
          <w:b/>
          <w:bCs/>
        </w:rPr>
        <w:t xml:space="preserve">). </w:t>
      </w:r>
      <w:r>
        <w:t>I valori di luminanza sono relativi allo zenith</w:t>
      </w:r>
      <w:r w:rsidRPr="00A14B94">
        <w:t xml:space="preserve"> (</w:t>
      </w:r>
      <w:r>
        <w:t>valore assegnato 1</w:t>
      </w:r>
      <w:r w:rsidRPr="00A14B94">
        <w:t xml:space="preserve">), </w:t>
      </w:r>
      <w:r>
        <w:t>con il blu</w:t>
      </w:r>
      <w:r w:rsidRPr="00A14B94">
        <w:t xml:space="preserve"> </w:t>
      </w:r>
      <w:r>
        <w:t xml:space="preserve">che </w:t>
      </w:r>
      <w:r w:rsidRPr="00A14B94">
        <w:t xml:space="preserve">indica 3 </w:t>
      </w:r>
      <w:r>
        <w:t xml:space="preserve">volte lo </w:t>
      </w:r>
      <w:r w:rsidRPr="00A14B94">
        <w:t xml:space="preserve">zenith, </w:t>
      </w:r>
      <w:r>
        <w:t>verde</w:t>
      </w:r>
      <w:r w:rsidRPr="00A14B94">
        <w:t xml:space="preserve"> 12 </w:t>
      </w:r>
      <w:r>
        <w:t>volte</w:t>
      </w:r>
      <w:r w:rsidRPr="00A14B94">
        <w:t xml:space="preserve">, </w:t>
      </w:r>
      <w:r w:rsidR="0042265F">
        <w:t>e rosso</w:t>
      </w:r>
      <w:r w:rsidRPr="00A14B94">
        <w:t xml:space="preserve"> 40 </w:t>
      </w:r>
      <w:r w:rsidR="0042265F">
        <w:t>volte</w:t>
      </w:r>
      <w:r w:rsidRPr="00A14B94">
        <w:t>.</w:t>
      </w:r>
    </w:p>
    <w:p w:rsidR="00A14B94" w:rsidRDefault="00A14B94" w:rsidP="00042EF7"/>
    <w:p w:rsidR="00A14B94" w:rsidRDefault="00A14B94" w:rsidP="00042EF7"/>
    <w:p w:rsidR="00460BAB" w:rsidRDefault="00460BAB" w:rsidP="00042EF7"/>
    <w:p w:rsidR="00460BAB" w:rsidRDefault="00460BAB">
      <w:r>
        <w:br w:type="page"/>
      </w:r>
    </w:p>
    <w:p w:rsidR="00460BAB" w:rsidRDefault="00460BAB" w:rsidP="00042EF7"/>
    <w:p w:rsidR="00460BAB" w:rsidRDefault="00460BAB" w:rsidP="00460BAB">
      <w:pPr>
        <w:pStyle w:val="Titolo1"/>
      </w:pPr>
      <w:r w:rsidRPr="00460BAB">
        <w:t>Risultati Modellati</w:t>
      </w:r>
    </w:p>
    <w:p w:rsidR="00460BAB" w:rsidRDefault="00460BAB" w:rsidP="00042EF7"/>
    <w:p w:rsidR="00460BAB" w:rsidRDefault="00460BAB" w:rsidP="00460BAB">
      <w:pPr>
        <w:pStyle w:val="Titolo2"/>
      </w:pPr>
      <w:r w:rsidRPr="00460BAB">
        <w:t>5.1 Concetti generali</w:t>
      </w:r>
    </w:p>
    <w:p w:rsidR="00460BAB" w:rsidRDefault="00460BAB" w:rsidP="00042EF7">
      <w:r w:rsidRPr="00460BAB">
        <w:t>Questa sezione descrive i termini generali e i concetti per aiutare con la comprensione pratica dei risultati modellati, che seguono:</w:t>
      </w:r>
    </w:p>
    <w:p w:rsidR="00460BAB" w:rsidRDefault="00460BAB" w:rsidP="00460BAB">
      <w:pPr>
        <w:pStyle w:val="Paragrafoelenco"/>
        <w:numPr>
          <w:ilvl w:val="0"/>
          <w:numId w:val="15"/>
        </w:numPr>
      </w:pPr>
      <w:r w:rsidRPr="00460BAB">
        <w:t>Le tabelle e le figure mostrano gli impatti relativi delle singole variabili rispetto ad un sistema di illuminazione stradale di base dichiarato, salvo diversa indicazione. Le gamme (ad esempio, minimo, massimo) e altri v</w:t>
      </w:r>
      <w:r>
        <w:t>alori statistici (ad esempio, 1</w:t>
      </w:r>
      <w:r w:rsidRPr="00460BAB">
        <w:t>° q</w:t>
      </w:r>
      <w:r>
        <w:t>uartile, mediano, 3</w:t>
      </w:r>
      <w:r w:rsidRPr="00460BAB">
        <w:t>° quartile) sono calcolati tra due stati di una variabile particolare (ad esempio, due percentuali di uplight), alterando gli altri fat</w:t>
      </w:r>
      <w:r>
        <w:t>tori in tutti i loro intervalli</w:t>
      </w:r>
      <w:r w:rsidRPr="00460BAB">
        <w:t>. Quando si esamina</w:t>
      </w:r>
      <w:r w:rsidR="00265AED">
        <w:t>no</w:t>
      </w:r>
      <w:r w:rsidRPr="00460BAB">
        <w:t xml:space="preserve"> i valori relativi, è necessario tenere presente che una riduzione del 10% di un numero elevato, come spesso si applica ad un effetto in una posizione vicina dell'osservatore, può superare una riduzione del 90% di un numero minore, come un effetto che potrebbe si verificano a distanza, in termini di impatto assoluto.</w:t>
      </w:r>
    </w:p>
    <w:p w:rsidR="00460BAB" w:rsidRDefault="00460BAB" w:rsidP="00460BAB">
      <w:pPr>
        <w:pStyle w:val="Paragrafoelenco"/>
        <w:numPr>
          <w:ilvl w:val="0"/>
          <w:numId w:val="15"/>
        </w:numPr>
      </w:pPr>
      <w:r w:rsidRPr="00460BAB">
        <w:t xml:space="preserve">Sono stati eseguiti calcoli assoluti di </w:t>
      </w:r>
      <w:r w:rsidR="00265AED">
        <w:t>chiarore</w:t>
      </w:r>
      <w:r w:rsidRPr="00460BAB">
        <w:t xml:space="preserve"> del cielo, producendo risultati rilevati in ir</w:t>
      </w:r>
      <w:r w:rsidR="00265AED">
        <w:t>radianza orizzontale diffusa (W/</w:t>
      </w:r>
      <w:r w:rsidRPr="00460BAB">
        <w:t>m</w:t>
      </w:r>
      <w:r w:rsidRPr="00265AED">
        <w:rPr>
          <w:vertAlign w:val="superscript"/>
        </w:rPr>
        <w:t>2</w:t>
      </w:r>
      <w:r w:rsidRPr="00460BAB">
        <w:t>) dal cielo notturno misurati a terra, nell'ambito della luce visibile a</w:t>
      </w:r>
      <w:r w:rsidR="00265AED">
        <w:t>gli esseri umani (380 a 780nm)</w:t>
      </w:r>
      <w:r w:rsidRPr="00460BAB">
        <w:t>.</w:t>
      </w:r>
      <w:r w:rsidRPr="00265AED">
        <w:rPr>
          <w:vertAlign w:val="superscript"/>
        </w:rPr>
        <w:t>20</w:t>
      </w:r>
      <w:r w:rsidRPr="00460BAB">
        <w:t xml:space="preserve"> Si tratta di come irraggiamento "non ponderato", poiché nessuna funzione di ponderazione, come la sensibilità visiva umana, viene applicata ai valori calcolati. I risultati sono stati quindi anche ponderati dalla funzione d</w:t>
      </w:r>
      <w:r w:rsidR="00265AED">
        <w:t>i visibilità scotopica umana, V</w:t>
      </w:r>
      <w:r w:rsidRPr="00460BAB">
        <w:t xml:space="preserve">'(λ), per ottenere valori </w:t>
      </w:r>
      <w:r w:rsidR="00265AED">
        <w:t>luminosi scotopici (scotopic-cd/</w:t>
      </w:r>
      <w:r w:rsidRPr="00460BAB">
        <w:t>m</w:t>
      </w:r>
      <w:r w:rsidRPr="00265AED">
        <w:rPr>
          <w:vertAlign w:val="superscript"/>
        </w:rPr>
        <w:t>2</w:t>
      </w:r>
      <w:r w:rsidR="00265AED">
        <w:t>/</w:t>
      </w:r>
      <w:r w:rsidRPr="00460BAB">
        <w:t xml:space="preserve">sr o scotopic-lux) che rappresentano meglio la luce visibile </w:t>
      </w:r>
      <w:r w:rsidR="00265AED">
        <w:t>dall'occhio umano adattato (alla luce notturna)</w:t>
      </w:r>
      <w:r w:rsidRPr="00460BAB">
        <w:t>. In ogni caso, gli impatti riportati in questo documento assumono la forma di moltiplicatori rispetto ad un valore di base, per indicare gli impatti relativi.</w:t>
      </w:r>
    </w:p>
    <w:p w:rsidR="00460BAB" w:rsidRDefault="00460BAB" w:rsidP="00460BAB">
      <w:pPr>
        <w:pStyle w:val="Paragrafoelenco"/>
        <w:numPr>
          <w:ilvl w:val="0"/>
          <w:numId w:val="15"/>
        </w:numPr>
      </w:pPr>
      <w:r w:rsidRPr="00460BAB">
        <w:t xml:space="preserve">Le differenze tra i risultati ponderati e ponderati in scotopia indicano l'influenza potenziale di questi risultati su a) osservazioni </w:t>
      </w:r>
      <w:r w:rsidR="00265AED">
        <w:t>con strumenti astronomici</w:t>
      </w:r>
      <w:r w:rsidRPr="00460BAB">
        <w:t xml:space="preserve"> o la risposta di piante e animali e b) rispettivamente la visibilità del cielo notturno. Per gli spettri luminosi studiati in questo rapporto, una grande differenza tra gli stessi risultati quando non ponderato e ponderato indica una presenza significativa di lunghezze d'onda corte intorno al picco</w:t>
      </w:r>
      <w:r w:rsidR="00265AED">
        <w:t xml:space="preserve"> di sensibilità</w:t>
      </w:r>
      <w:r w:rsidRPr="00460BAB">
        <w:t xml:space="preserve"> della visione </w:t>
      </w:r>
      <w:r w:rsidR="00265AED">
        <w:t>(507</w:t>
      </w:r>
      <w:r w:rsidRPr="00460BAB">
        <w:t>nm); poca o nessuna differenza significa una presenza più bassa di tali lunghezze d'onda.</w:t>
      </w:r>
    </w:p>
    <w:p w:rsidR="00460BAB" w:rsidRDefault="00460BAB" w:rsidP="00460BAB">
      <w:pPr>
        <w:pStyle w:val="Paragrafoelenco"/>
        <w:numPr>
          <w:ilvl w:val="0"/>
          <w:numId w:val="15"/>
        </w:numPr>
      </w:pPr>
      <w:r w:rsidRPr="00460BAB">
        <w:t>I parametri fisici spesso hanno un'influenza diretta e significativa; per esempio, le città più grandi che coprono più aree tendono a produrre livelli più elevati di luce corrispondenti ad una maggiore produzione di luce totale, con conseguente aumento della luminosità del cielo che si estende per lunghe distanze.</w:t>
      </w:r>
      <w:r w:rsidRPr="00460BAB">
        <w:br/>
      </w:r>
    </w:p>
    <w:p w:rsidR="00265AED" w:rsidRDefault="00460BAB" w:rsidP="00D70825">
      <w:pPr>
        <w:pStyle w:val="Paragrafoelenco"/>
        <w:numPr>
          <w:ilvl w:val="0"/>
          <w:numId w:val="15"/>
        </w:numPr>
      </w:pPr>
      <w:r w:rsidRPr="00460BAB">
        <w:t>Alcuni altri principi fisici di base:</w:t>
      </w:r>
    </w:p>
    <w:p w:rsidR="00460BAB" w:rsidRDefault="00460BAB" w:rsidP="00265AED">
      <w:pPr>
        <w:pStyle w:val="Paragrafoelenco"/>
        <w:numPr>
          <w:ilvl w:val="1"/>
          <w:numId w:val="15"/>
        </w:numPr>
      </w:pPr>
      <w:r w:rsidRPr="00460BAB">
        <w:t xml:space="preserve">Le lunghezze d'onda più corte (ad </w:t>
      </w:r>
      <w:r w:rsidR="00265AED">
        <w:t>es. violetto, blu) si disperdono</w:t>
      </w:r>
      <w:r w:rsidRPr="00460BAB">
        <w:t xml:space="preserve"> più facilmente delle lunghezze d'onda più lunghe (ad esempio, giallo, rosso) a causa della composizione molecolare dell'atmosfera</w:t>
      </w:r>
      <w:r w:rsidRPr="006A3724">
        <w:rPr>
          <w:vertAlign w:val="superscript"/>
        </w:rPr>
        <w:t>21</w:t>
      </w:r>
      <w:r w:rsidRPr="00460BAB">
        <w:t xml:space="preserve">; le lunghezze d'onda più corte hanno quindi maggiore influenza sul bagliore del cielo vicino alla sorgente, ma rapidamente si attenuano con la distanza. Poiché le lunghezze d'onda più lunghe sono meno influenzate dagli elementi molecolari dell'atmosfera, in condizioni </w:t>
      </w:r>
      <w:r w:rsidR="006A3724">
        <w:t>di cielo limpido</w:t>
      </w:r>
      <w:r w:rsidRPr="00460BAB">
        <w:t xml:space="preserve"> </w:t>
      </w:r>
      <w:r w:rsidR="006A3724">
        <w:t>arrivano</w:t>
      </w:r>
      <w:r w:rsidRPr="00460BAB">
        <w:t xml:space="preserve"> più </w:t>
      </w:r>
      <w:r w:rsidR="006A3724">
        <w:t>lontano</w:t>
      </w:r>
      <w:r w:rsidRPr="00460BAB">
        <w:t xml:space="preserve"> e quindi hanno una maggiore influenza sul </w:t>
      </w:r>
      <w:r w:rsidR="006A3724">
        <w:t>chiarore</w:t>
      </w:r>
      <w:r w:rsidRPr="00460BAB">
        <w:t xml:space="preserve"> del cielo visto da osservatori lontani.</w:t>
      </w:r>
      <w:r w:rsidRPr="006A3724">
        <w:rPr>
          <w:vertAlign w:val="superscript"/>
        </w:rPr>
        <w:t>22</w:t>
      </w:r>
    </w:p>
    <w:p w:rsidR="00460BAB" w:rsidRDefault="00460BAB" w:rsidP="00460BAB"/>
    <w:p w:rsidR="00460BAB" w:rsidRDefault="00460BAB" w:rsidP="00042EF7">
      <w:pPr>
        <w:pBdr>
          <w:bottom w:val="single" w:sz="6" w:space="1" w:color="auto"/>
        </w:pBdr>
      </w:pPr>
    </w:p>
    <w:p w:rsidR="006A3724" w:rsidRDefault="00460BAB" w:rsidP="00042EF7">
      <w:r w:rsidRPr="00460BAB">
        <w:t>20 L'irradianza orizzontale a tutto il cielo è stata giudicata la metrica migliore per gli scopi di questa relazione, ma altri come l'illuminazione verticale massima può anche essere critica per siti selezionati come le conservazioni ambientali. Vedi, ad esempio: D. Duriscoe. 'Indicatori fotometrici della qualità del cielo notturno visibile derivanti da mappe di luminosità a tutti i piani.' Journal of Spettroscopia Quantitativa &amp; Trasferimento Radiante, vol. 181, 2016, pp. 33-45.</w:t>
      </w:r>
    </w:p>
    <w:p w:rsidR="00460BAB" w:rsidRDefault="00460BAB" w:rsidP="00042EF7">
      <w:r w:rsidRPr="00460BAB">
        <w:t xml:space="preserve">21 Vedi, ad esempio: </w:t>
      </w:r>
      <w:hyperlink r:id="rId25" w:history="1">
        <w:r w:rsidRPr="00CA17E0">
          <w:rPr>
            <w:rStyle w:val="Collegamentoipertestuale"/>
          </w:rPr>
          <w:t>http://www.spc.noaa.gov/publications/corfidi/sunset/</w:t>
        </w:r>
      </w:hyperlink>
      <w:r w:rsidRPr="00460BAB">
        <w:t>.</w:t>
      </w:r>
    </w:p>
    <w:p w:rsidR="00460BAB" w:rsidRDefault="00460BAB" w:rsidP="00042EF7">
      <w:r w:rsidRPr="00460BAB">
        <w:t>22 M. Kocifaj. «Un esperimento numerico sull'inquinamento luminoso proveniente da fonti lontane». Avvisi mensili della Royal Astronomical Society, vol. 415, 2011, pp. 3609-3615.</w:t>
      </w:r>
    </w:p>
    <w:p w:rsidR="00460BAB" w:rsidRDefault="00460BAB" w:rsidP="00042EF7"/>
    <w:p w:rsidR="006A3724" w:rsidRDefault="006A3724">
      <w:r>
        <w:br w:type="page"/>
      </w:r>
    </w:p>
    <w:p w:rsidR="006A3724" w:rsidRDefault="006A3724" w:rsidP="00042EF7"/>
    <w:p w:rsidR="004B04C0" w:rsidRDefault="004B04C0" w:rsidP="004B04C0">
      <w:pPr>
        <w:pStyle w:val="Paragrafoelenco"/>
        <w:numPr>
          <w:ilvl w:val="1"/>
          <w:numId w:val="15"/>
        </w:numPr>
      </w:pPr>
      <w:r w:rsidRPr="004B04C0">
        <w:t xml:space="preserve">Le gocce d'acqua e gli aerosol come polvere, fuliggine e sale hanno effetti diversi sulla radiazione del cielo a causa delle loro dimensioni molto grandi e delle forme irregolari rispetto alle molecole di ossigeno e azoto, gli agenti primari di dispersione in un cielo limpido. </w:t>
      </w:r>
      <w:r w:rsidRPr="004B04C0">
        <w:rPr>
          <w:vertAlign w:val="superscript"/>
        </w:rPr>
        <w:t>23,24</w:t>
      </w:r>
      <w:r w:rsidRPr="004B04C0">
        <w:t xml:space="preserve"> I diversi composti possono anche possedere proprietà diverse di assorbimento / riflessione. Il carico aerosol superiore riduce in modo più uniforme la propagazione di tutte le lunghezze d'onda, rispetto alle condizioni chiare.</w:t>
      </w:r>
    </w:p>
    <w:p w:rsidR="004B04C0" w:rsidRDefault="004B04C0" w:rsidP="004B04C0">
      <w:pPr>
        <w:pStyle w:val="Paragrafoelenco"/>
        <w:numPr>
          <w:ilvl w:val="0"/>
          <w:numId w:val="16"/>
        </w:numPr>
      </w:pPr>
      <w:r w:rsidRPr="004B04C0">
        <w:t>La luce raggiunge il cielo da una combinazione di luce emessa direttamente verso l'alto (al di s</w:t>
      </w:r>
      <w:r>
        <w:t>opra del piano orizzontale di 90</w:t>
      </w:r>
      <w:r w:rsidRPr="004B04C0">
        <w:t>°) dall'apparecchio e dalla luce emessa verso il basso (sotto i 90°), alcun</w:t>
      </w:r>
      <w:r>
        <w:t>e delle quali sono sparse</w:t>
      </w:r>
      <w:r w:rsidRPr="004B04C0">
        <w:t xml:space="preserve"> verso l'alto o riflessi dal suolo o da altri oggetti ad esempio, edifici).</w:t>
      </w:r>
    </w:p>
    <w:p w:rsidR="005D167E" w:rsidRDefault="004B04C0" w:rsidP="004B04C0">
      <w:pPr>
        <w:pStyle w:val="Paragrafoelenco"/>
        <w:numPr>
          <w:ilvl w:val="0"/>
          <w:numId w:val="16"/>
        </w:numPr>
      </w:pPr>
      <w:r w:rsidRPr="004B04C0">
        <w:t>Alcuni glob</w:t>
      </w:r>
      <w:r>
        <w:t>i e altri impiant</w:t>
      </w:r>
      <w:r w:rsidRPr="004B04C0">
        <w:t xml:space="preserve">i decorativi emettono luce direttamente </w:t>
      </w:r>
      <w:r>
        <w:t xml:space="preserve">verso l’alto </w:t>
      </w:r>
      <w:r w:rsidRPr="004B04C0">
        <w:t>(</w:t>
      </w:r>
      <w:r>
        <w:t>ovvero</w:t>
      </w:r>
      <w:r w:rsidRPr="004B04C0">
        <w:t xml:space="preserve"> a</w:t>
      </w:r>
      <w:r>
        <w:t>llo</w:t>
      </w:r>
      <w:r w:rsidRPr="004B04C0">
        <w:t xml:space="preserve"> zenith), ma per la maggior parte dei prodotti standard che rappresentano la maggior parte degli </w:t>
      </w:r>
      <w:r w:rsidR="005D167E">
        <w:t>impianti</w:t>
      </w:r>
      <w:r w:rsidRPr="004B04C0">
        <w:t xml:space="preserve"> di illuminazione stradale installati, </w:t>
      </w:r>
      <w:r w:rsidR="005D167E">
        <w:t>la luce verso l’alto</w:t>
      </w:r>
      <w:r w:rsidRPr="004B04C0">
        <w:t xml:space="preserve"> si riferisce principalmente alla luce emessa ad un</w:t>
      </w:r>
      <w:r w:rsidR="005D167E">
        <w:t xml:space="preserve"> angolo relativamente piccolo (da 0 a 10</w:t>
      </w:r>
      <w:r w:rsidRPr="004B04C0">
        <w:t xml:space="preserve">°) rispetto al piano orizzontale </w:t>
      </w:r>
      <w:r w:rsidR="005D167E">
        <w:t xml:space="preserve">disegnato </w:t>
      </w:r>
      <w:r w:rsidRPr="004B04C0">
        <w:t>con l'apertura della sorgente luminosa. La luce emessa da un</w:t>
      </w:r>
      <w:r w:rsidR="005D167E">
        <w:t xml:space="preserve"> lampione</w:t>
      </w:r>
      <w:r w:rsidRPr="004B04C0">
        <w:t xml:space="preserve"> strada</w:t>
      </w:r>
      <w:r w:rsidR="005D167E">
        <w:t>le</w:t>
      </w:r>
      <w:r w:rsidRPr="004B04C0">
        <w:t xml:space="preserve"> </w:t>
      </w:r>
      <w:r w:rsidR="005D167E">
        <w:t>con</w:t>
      </w:r>
      <w:r w:rsidRPr="004B04C0">
        <w:t xml:space="preserve"> lente a goccia </w:t>
      </w:r>
      <w:r w:rsidR="005D167E">
        <w:t>a forma di</w:t>
      </w:r>
      <w:r w:rsidR="005D167E" w:rsidRPr="004B04C0">
        <w:t xml:space="preserve"> cobra </w:t>
      </w:r>
      <w:r w:rsidRPr="004B04C0">
        <w:t>ad angoli più alti</w:t>
      </w:r>
      <w:r w:rsidR="005D167E">
        <w:t>,</w:t>
      </w:r>
      <w:r w:rsidRPr="004B04C0">
        <w:t xml:space="preserve"> tende ad essere ad intensità molto inferiore a quella emessa vicino a orizzontale.</w:t>
      </w:r>
    </w:p>
    <w:p w:rsidR="005D167E" w:rsidRDefault="004B04C0" w:rsidP="004B04C0">
      <w:pPr>
        <w:pStyle w:val="Paragrafoelenco"/>
        <w:numPr>
          <w:ilvl w:val="0"/>
          <w:numId w:val="16"/>
        </w:numPr>
      </w:pPr>
      <w:r w:rsidRPr="004B04C0">
        <w:t>La luce emessa o riflessa verso lo zenith percorre il percorso più breve attraverso l'atmosfera (l'altezza media della scala fino a che l'atmosfera molecolare uniforme si estende a circa 8 km) prima di uscire nello spazio, incontrando così meno agenti di dispersione rispetto alla luce che va in corrispondenza di angoli inferiori lunghi percorsi atmosferici.</w:t>
      </w:r>
      <w:r w:rsidRPr="005D167E">
        <w:rPr>
          <w:vertAlign w:val="superscript"/>
        </w:rPr>
        <w:t>25</w:t>
      </w:r>
      <w:r w:rsidR="005D167E">
        <w:t xml:space="preserve"> La luce che diretta</w:t>
      </w:r>
      <w:r w:rsidRPr="004B04C0">
        <w:t xml:space="preserve"> verso lo zenith tende quindi a produrre meno luminosità del cielo (sotto condizioni non n</w:t>
      </w:r>
      <w:r w:rsidR="005D167E">
        <w:t xml:space="preserve">uvolose) rispetto alla luce ad </w:t>
      </w:r>
      <w:r w:rsidRPr="004B04C0">
        <w:t xml:space="preserve"> angoli inferiori.</w:t>
      </w:r>
    </w:p>
    <w:p w:rsidR="005D167E" w:rsidRDefault="004B04C0" w:rsidP="005D167E">
      <w:pPr>
        <w:pStyle w:val="Paragrafoelenco"/>
        <w:numPr>
          <w:ilvl w:val="0"/>
          <w:numId w:val="16"/>
        </w:numPr>
      </w:pPr>
      <w:r w:rsidRPr="004B04C0">
        <w:t xml:space="preserve">Le nuvole spesso amplificano il </w:t>
      </w:r>
      <w:r w:rsidR="005D167E">
        <w:t xml:space="preserve">chiarore </w:t>
      </w:r>
      <w:r w:rsidRPr="004B04C0">
        <w:t xml:space="preserve">del cielo per gli osservatori all'interno della zona della città definita, come determinato da una complessa funzione </w:t>
      </w:r>
      <w:r w:rsidR="005D167E">
        <w:t>ottica e geometrica</w:t>
      </w:r>
      <w:r w:rsidRPr="004B04C0">
        <w:t xml:space="preserve"> de</w:t>
      </w:r>
      <w:r w:rsidR="005D167E">
        <w:t>lla nuvola,</w:t>
      </w:r>
      <w:r w:rsidRPr="004B04C0">
        <w:t xml:space="preserve"> nonché la posizione di un osser</w:t>
      </w:r>
      <w:r w:rsidR="005D167E">
        <w:t>vatore individuale rispetto al gruppo</w:t>
      </w:r>
      <w:r w:rsidRPr="004B04C0">
        <w:t xml:space="preserve"> di nuvole.</w:t>
      </w:r>
    </w:p>
    <w:p w:rsidR="00C9417B" w:rsidRDefault="004B04C0" w:rsidP="005D167E">
      <w:pPr>
        <w:pStyle w:val="Paragrafoelenco"/>
        <w:numPr>
          <w:ilvl w:val="0"/>
          <w:numId w:val="16"/>
        </w:numPr>
      </w:pPr>
      <w:r w:rsidRPr="004B04C0">
        <w:t xml:space="preserve">La luce che attraversa l'atmosfera è in ultima analisi assorbita da aerosol, particelle, edifici o terreni o esce nello spazio. Gli effetti di </w:t>
      </w:r>
      <w:r w:rsidR="005D167E">
        <w:t>diffusionedel</w:t>
      </w:r>
      <w:r w:rsidRPr="004B04C0">
        <w:t xml:space="preserve">la luce </w:t>
      </w:r>
      <w:r w:rsidR="00C9417B">
        <w:t xml:space="preserve">lungo </w:t>
      </w:r>
      <w:r w:rsidRPr="004B04C0">
        <w:t>il suo percorso sono funzione degli elementi esaminati in questo studio e altri non coperti, come le variazioni complesse nella dimensione e nella forma del particolato elencate in precedenza.</w:t>
      </w:r>
    </w:p>
    <w:p w:rsidR="00C9417B" w:rsidRDefault="00C9417B" w:rsidP="00C9417B"/>
    <w:p w:rsidR="00C9417B" w:rsidRDefault="004B04C0" w:rsidP="00C9417B">
      <w:r w:rsidRPr="004B04C0">
        <w:t>L'atmosfera rappresenta una combinazione virtualmente infinita di elementi quando si considera il movimento della luce, delle parti</w:t>
      </w:r>
      <w:r w:rsidR="00C9417B">
        <w:t>celle o dei fluidi che contiene. L</w:t>
      </w:r>
      <w:r w:rsidRPr="004B04C0">
        <w:t xml:space="preserve">e imprecisioni caratteristiche sono ampiamente riconosciute anche in attività comuni come la previsione del tempo. Le semplificazioni significative sono necessarie in qualsiasi sforzo di modellazione correlata, e anche allora i modelli utilizzati per questi scopi sono necessariamente matematicamente complessi e </w:t>
      </w:r>
      <w:r w:rsidR="00C9417B">
        <w:t xml:space="preserve">con grande quantità di </w:t>
      </w:r>
      <w:r w:rsidRPr="004B04C0">
        <w:t>dati.</w:t>
      </w:r>
    </w:p>
    <w:p w:rsidR="00C9417B" w:rsidRDefault="004B04C0" w:rsidP="00C9417B">
      <w:pPr>
        <w:pBdr>
          <w:bottom w:val="single" w:sz="6" w:space="1" w:color="auto"/>
        </w:pBdr>
      </w:pPr>
      <w:r w:rsidRPr="004B04C0">
        <w:t xml:space="preserve">Poiché questo documento è stato progettato per informare meglio la comunità </w:t>
      </w:r>
      <w:r w:rsidR="00C9417B">
        <w:t xml:space="preserve">che si occupa di </w:t>
      </w:r>
      <w:r w:rsidRPr="004B04C0">
        <w:t xml:space="preserve">illuminazione (ad esempio le comunità di modellazione atmosferica o astronomica), le descrizioni dei metodi di modellazione e dei risultati sono più adattati ai professionisti dell'illuminazione. L'intento è quello di facilitare una comprensione generale dell'impatto della luce nell'atmosfera derivante da vari scenari di illuminazione stradale e come le diverse caratteristiche di quella luce (flusso luminoso, SPD e percentuale di uplight) influenzano il </w:t>
      </w:r>
      <w:r w:rsidR="00C9417B">
        <w:t>chiarore</w:t>
      </w:r>
      <w:r w:rsidRPr="004B04C0">
        <w:t xml:space="preserve"> del cielo.</w:t>
      </w:r>
      <w:r w:rsidRPr="00C9417B">
        <w:rPr>
          <w:vertAlign w:val="superscript"/>
        </w:rPr>
        <w:t>26</w:t>
      </w:r>
      <w:r w:rsidRPr="004B04C0">
        <w:t xml:space="preserve"> </w:t>
      </w:r>
    </w:p>
    <w:p w:rsidR="005D16AB" w:rsidRPr="00C9417B" w:rsidRDefault="005D16AB" w:rsidP="00C9417B">
      <w:pPr>
        <w:pBdr>
          <w:bottom w:val="single" w:sz="6" w:space="1" w:color="auto"/>
        </w:pBdr>
      </w:pPr>
    </w:p>
    <w:p w:rsidR="00C9417B" w:rsidRDefault="00C9417B" w:rsidP="00C9417B">
      <w:pPr>
        <w:pBdr>
          <w:bottom w:val="single" w:sz="6" w:space="1" w:color="auto"/>
        </w:pBdr>
      </w:pPr>
    </w:p>
    <w:p w:rsidR="00C9417B" w:rsidRPr="00C9417B" w:rsidRDefault="004B04C0" w:rsidP="00C9417B">
      <w:pPr>
        <w:rPr>
          <w:sz w:val="20"/>
          <w:szCs w:val="20"/>
        </w:rPr>
      </w:pPr>
      <w:r w:rsidRPr="00C9417B">
        <w:rPr>
          <w:sz w:val="20"/>
          <w:szCs w:val="20"/>
        </w:rPr>
        <w:t>23</w:t>
      </w:r>
      <w:r w:rsidR="00C9417B" w:rsidRPr="00C9417B">
        <w:rPr>
          <w:sz w:val="20"/>
          <w:szCs w:val="20"/>
        </w:rPr>
        <w:t xml:space="preserve"> </w:t>
      </w:r>
      <w:r w:rsidRPr="00C9417B">
        <w:rPr>
          <w:sz w:val="20"/>
          <w:szCs w:val="20"/>
        </w:rPr>
        <w:t>Per esempio, le gocce d'acqua hanno forme sferiche o sferoidali, mostrando così un backscatter potenziato, mentre le particelle polverose sono di solito forme irregolari con backscatter debole e varie caratteristiche di dispersione laterale. Le particelle di Soot assorbono molto efficacemente, quindi sono meno efficienti nel reindirizzare la luce sparsa a terra. D'altra parte, le particelle di sale sono composte da specie non assorbenti (o debolmente assorbenti) e quindi disperse in modo molto efficiente.</w:t>
      </w:r>
    </w:p>
    <w:p w:rsidR="00C9417B" w:rsidRPr="00C9417B" w:rsidRDefault="004B04C0" w:rsidP="00C9417B">
      <w:pPr>
        <w:rPr>
          <w:sz w:val="20"/>
          <w:szCs w:val="20"/>
        </w:rPr>
      </w:pPr>
      <w:r w:rsidRPr="00C9417B">
        <w:rPr>
          <w:sz w:val="20"/>
          <w:szCs w:val="20"/>
        </w:rPr>
        <w:t>24 M. Kocifaj et al. «L'effetto dell'eterogeneità spaziale e spettrale delle sorgenti luminose a terra sui radianti del cielo notturno». Avvisi mensili della Royal Astronomical Society, vol. 409, 2010, pp. 1203-1212.</w:t>
      </w:r>
    </w:p>
    <w:p w:rsidR="00C9417B" w:rsidRPr="00C9417B" w:rsidRDefault="004B04C0" w:rsidP="00C9417B">
      <w:pPr>
        <w:rPr>
          <w:sz w:val="20"/>
          <w:szCs w:val="20"/>
        </w:rPr>
      </w:pPr>
      <w:r w:rsidRPr="00C9417B">
        <w:rPr>
          <w:sz w:val="20"/>
          <w:szCs w:val="20"/>
        </w:rPr>
        <w:t>25 L. M. Celnikier. «Comprendere la fisica della discesa meteoritica» American Journal of Physics, vol. 63, n. 520, 1995, pp. 524-535.</w:t>
      </w:r>
    </w:p>
    <w:p w:rsidR="004B04C0" w:rsidRPr="00C9417B" w:rsidRDefault="004B04C0" w:rsidP="00C9417B">
      <w:pPr>
        <w:rPr>
          <w:sz w:val="20"/>
          <w:szCs w:val="20"/>
        </w:rPr>
      </w:pPr>
      <w:r w:rsidRPr="00C9417B">
        <w:rPr>
          <w:sz w:val="20"/>
          <w:szCs w:val="20"/>
        </w:rPr>
        <w:t>26 La temperatura del colore correlata (CCT) viene spesso utilizzata come proxy per il contenuto spettrale nelle discussioni sul bagliore del cielo, ma è una misura imprecisa. Molte diverse combinazioni di lunghezze d'onda possono essere utilizzate per produrre un dato aspetto di colore, o CCT. Questo studio si basa sugli SPD effettivi nell'interpretazione dei calcoli poiché le differenze potenziali tra i prodotti persino allo stesso CCT possono determinare ampie variazioni negli effetti atmosferici.</w:t>
      </w:r>
    </w:p>
    <w:p w:rsidR="006A3724" w:rsidRDefault="006A3724" w:rsidP="00042EF7"/>
    <w:p w:rsidR="00C9417B" w:rsidRDefault="00C9417B" w:rsidP="00042EF7"/>
    <w:p w:rsidR="00C9417B" w:rsidRDefault="00C9417B" w:rsidP="00042EF7"/>
    <w:p w:rsidR="005D16AB" w:rsidRDefault="005D16AB" w:rsidP="005D16AB"/>
    <w:p w:rsidR="005D16AB" w:rsidRDefault="005D16AB" w:rsidP="005D16AB"/>
    <w:p w:rsidR="005D16AB" w:rsidRDefault="005D16AB" w:rsidP="005D16AB">
      <w:r w:rsidRPr="004B04C0">
        <w:lastRenderedPageBreak/>
        <w:t>Gli effetti di ciascu</w:t>
      </w:r>
      <w:r>
        <w:t>na</w:t>
      </w:r>
      <w:r w:rsidRPr="004B04C0">
        <w:t xml:space="preserve"> variabile considerata </w:t>
      </w:r>
      <w:r w:rsidRPr="00C9417B">
        <w:t xml:space="preserve">in </w:t>
      </w:r>
      <w:r>
        <w:t>qusto studio sono descritti di seguito nei termini generali</w:t>
      </w:r>
      <w:r w:rsidRPr="00C9417B">
        <w:t>, e</w:t>
      </w:r>
      <w:r>
        <w:t>nfatizzando le condizioni</w:t>
      </w:r>
      <w:r w:rsidRPr="00C9417B">
        <w:t xml:space="preserve"> </w:t>
      </w:r>
      <w:r>
        <w:t>per le quali sono significativi:</w:t>
      </w:r>
    </w:p>
    <w:p w:rsidR="0044674A" w:rsidRDefault="0044674A" w:rsidP="0044674A">
      <w:pPr>
        <w:pStyle w:val="Paragrafoelenco"/>
        <w:numPr>
          <w:ilvl w:val="0"/>
          <w:numId w:val="17"/>
        </w:numPr>
      </w:pPr>
      <w:r w:rsidRPr="0044674A">
        <w:t xml:space="preserve">Sono state definite tre città ipotetiche, che comprendono una piccola città ad una grande metropoli, ritenuta rappresentazioni ragionevoli delle città tipiche degli Stati Uniti. Le informazioni su ciascuna sono incluse nella tabella 1. Tutte le città sono uniche nella loro particolare forma e dimensioni, introducendo una variazione significativa tra le posizioni effettive. Per mantenere l'attuale sforzo gestibile, tuttavia, ogni città ipotetica è stata semplificata a una forma uniforme e circolare. Vi è una notevole gamma di densità di illuminazione, che riflette le differenze nel </w:t>
      </w:r>
      <w:r>
        <w:t>progetto</w:t>
      </w:r>
      <w:r w:rsidRPr="0044674A">
        <w:t xml:space="preserve"> della città</w:t>
      </w:r>
      <w:r>
        <w:t>.</w:t>
      </w:r>
      <w:r w:rsidRPr="0044674A">
        <w:t xml:space="preserve"> </w:t>
      </w:r>
      <w:r>
        <w:t xml:space="preserve">La </w:t>
      </w:r>
      <w:r w:rsidRPr="0044674A">
        <w:t>City2 ha la densità più bassa e soddisfa la qualifica come International Dark Sky City.</w:t>
      </w:r>
    </w:p>
    <w:p w:rsidR="0044674A" w:rsidRDefault="0044674A" w:rsidP="0044674A"/>
    <w:p w:rsidR="0044674A" w:rsidRDefault="0044674A" w:rsidP="0044674A">
      <w:r w:rsidRPr="0044674A">
        <w:rPr>
          <w:b/>
          <w:bCs/>
        </w:rPr>
        <w:t>Tabe</w:t>
      </w:r>
      <w:r>
        <w:rPr>
          <w:b/>
          <w:bCs/>
        </w:rPr>
        <w:t>lla</w:t>
      </w:r>
      <w:r w:rsidRPr="0044674A">
        <w:rPr>
          <w:b/>
          <w:bCs/>
        </w:rPr>
        <w:t xml:space="preserve"> 1 C</w:t>
      </w:r>
      <w:r>
        <w:rPr>
          <w:b/>
          <w:bCs/>
        </w:rPr>
        <w:t>aratteristiche</w:t>
      </w:r>
      <w:r w:rsidRPr="0044674A">
        <w:rPr>
          <w:b/>
          <w:bCs/>
        </w:rPr>
        <w:t xml:space="preserve"> </w:t>
      </w:r>
      <w:r>
        <w:rPr>
          <w:b/>
          <w:bCs/>
        </w:rPr>
        <w:t>di un modello di città ipotetica</w:t>
      </w:r>
      <w:r w:rsidRPr="0044674A">
        <w:rPr>
          <w:b/>
          <w:bC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830"/>
        <w:gridCol w:w="697"/>
        <w:gridCol w:w="1350"/>
        <w:gridCol w:w="1722"/>
      </w:tblGrid>
      <w:tr w:rsidR="0044674A" w:rsidRPr="0044674A" w:rsidTr="003D6F4F">
        <w:trPr>
          <w:trHeight w:val="282"/>
          <w:jc w:val="center"/>
        </w:trPr>
        <w:tc>
          <w:tcPr>
            <w:tcW w:w="0" w:type="auto"/>
          </w:tcPr>
          <w:p w:rsidR="0044674A" w:rsidRPr="0044674A" w:rsidRDefault="0044674A" w:rsidP="0044674A">
            <w:pPr>
              <w:jc w:val="center"/>
            </w:pPr>
          </w:p>
        </w:tc>
        <w:tc>
          <w:tcPr>
            <w:tcW w:w="0" w:type="auto"/>
          </w:tcPr>
          <w:p w:rsidR="0044674A" w:rsidRPr="0044674A" w:rsidRDefault="0044674A" w:rsidP="003D6F4F">
            <w:pPr>
              <w:jc w:val="center"/>
              <w:rPr>
                <w:b/>
                <w:bCs/>
              </w:rPr>
            </w:pPr>
            <w:r w:rsidRPr="0044674A">
              <w:rPr>
                <w:b/>
                <w:bCs/>
              </w:rPr>
              <w:t>Ra</w:t>
            </w:r>
            <w:r w:rsidR="003D6F4F">
              <w:rPr>
                <w:b/>
                <w:bCs/>
              </w:rPr>
              <w:t>ggio</w:t>
            </w:r>
            <w:r w:rsidR="003D6F4F">
              <w:rPr>
                <w:b/>
                <w:bCs/>
              </w:rPr>
              <w:br/>
            </w:r>
            <w:r w:rsidRPr="0044674A">
              <w:rPr>
                <w:b/>
                <w:bCs/>
              </w:rPr>
              <w:t xml:space="preserve"> </w:t>
            </w:r>
            <w:r w:rsidRPr="0044674A">
              <w:t>(km)</w:t>
            </w:r>
          </w:p>
        </w:tc>
        <w:tc>
          <w:tcPr>
            <w:tcW w:w="0" w:type="auto"/>
          </w:tcPr>
          <w:p w:rsidR="0044674A" w:rsidRPr="0044674A" w:rsidRDefault="0044674A" w:rsidP="0044674A">
            <w:pPr>
              <w:jc w:val="center"/>
            </w:pPr>
            <w:r w:rsidRPr="0044674A">
              <w:rPr>
                <w:b/>
                <w:bCs/>
              </w:rPr>
              <w:t xml:space="preserve">Area </w:t>
            </w:r>
            <w:r w:rsidR="003D6F4F">
              <w:rPr>
                <w:b/>
                <w:bCs/>
              </w:rPr>
              <w:br/>
            </w:r>
            <w:r w:rsidRPr="0044674A">
              <w:t>(km</w:t>
            </w:r>
            <w:r w:rsidRPr="003D6F4F">
              <w:rPr>
                <w:vertAlign w:val="superscript"/>
              </w:rPr>
              <w:t>2</w:t>
            </w:r>
            <w:r w:rsidRPr="0044674A">
              <w:t>)</w:t>
            </w:r>
          </w:p>
        </w:tc>
        <w:tc>
          <w:tcPr>
            <w:tcW w:w="0" w:type="auto"/>
          </w:tcPr>
          <w:p w:rsidR="0044674A" w:rsidRPr="0044674A" w:rsidRDefault="0044674A" w:rsidP="003D6F4F">
            <w:pPr>
              <w:jc w:val="center"/>
            </w:pPr>
            <w:r w:rsidRPr="0044674A">
              <w:rPr>
                <w:b/>
                <w:bCs/>
              </w:rPr>
              <w:t xml:space="preserve">No. </w:t>
            </w:r>
            <w:r w:rsidR="003D6F4F">
              <w:rPr>
                <w:b/>
                <w:bCs/>
              </w:rPr>
              <w:t>impianti</w:t>
            </w:r>
          </w:p>
        </w:tc>
        <w:tc>
          <w:tcPr>
            <w:tcW w:w="0" w:type="auto"/>
          </w:tcPr>
          <w:p w:rsidR="0044674A" w:rsidRPr="0044674A" w:rsidRDefault="003D6F4F" w:rsidP="003D6F4F">
            <w:pPr>
              <w:jc w:val="center"/>
            </w:pPr>
            <w:r>
              <w:rPr>
                <w:b/>
                <w:bCs/>
              </w:rPr>
              <w:t>Densità impianti</w:t>
            </w:r>
            <w:r>
              <w:rPr>
                <w:b/>
                <w:bCs/>
              </w:rPr>
              <w:br/>
            </w:r>
            <w:r w:rsidR="0044674A" w:rsidRPr="0044674A">
              <w:rPr>
                <w:b/>
                <w:bCs/>
              </w:rPr>
              <w:t xml:space="preserve"> </w:t>
            </w:r>
            <w:r w:rsidR="0044674A" w:rsidRPr="0044674A">
              <w:t>(per km</w:t>
            </w:r>
            <w:r w:rsidR="0044674A" w:rsidRPr="003D6F4F">
              <w:rPr>
                <w:vertAlign w:val="superscript"/>
              </w:rPr>
              <w:t>2</w:t>
            </w:r>
            <w:r w:rsidR="0044674A" w:rsidRPr="0044674A">
              <w:t>)</w:t>
            </w:r>
          </w:p>
        </w:tc>
      </w:tr>
      <w:tr w:rsidR="0044674A" w:rsidRPr="0044674A" w:rsidTr="003D6F4F">
        <w:trPr>
          <w:trHeight w:val="146"/>
          <w:jc w:val="center"/>
        </w:trPr>
        <w:tc>
          <w:tcPr>
            <w:tcW w:w="0" w:type="auto"/>
          </w:tcPr>
          <w:p w:rsidR="0044674A" w:rsidRPr="0044674A" w:rsidRDefault="0044674A" w:rsidP="0044674A">
            <w:pPr>
              <w:jc w:val="center"/>
            </w:pPr>
            <w:r w:rsidRPr="0044674A">
              <w:t>City1</w:t>
            </w:r>
          </w:p>
        </w:tc>
        <w:tc>
          <w:tcPr>
            <w:tcW w:w="0" w:type="auto"/>
          </w:tcPr>
          <w:p w:rsidR="0044674A" w:rsidRPr="0044674A" w:rsidRDefault="0044674A" w:rsidP="0044674A">
            <w:pPr>
              <w:jc w:val="center"/>
            </w:pPr>
            <w:r w:rsidRPr="0044674A">
              <w:t>1.4</w:t>
            </w:r>
          </w:p>
        </w:tc>
        <w:tc>
          <w:tcPr>
            <w:tcW w:w="0" w:type="auto"/>
          </w:tcPr>
          <w:p w:rsidR="0044674A" w:rsidRPr="0044674A" w:rsidRDefault="0044674A" w:rsidP="0044674A">
            <w:pPr>
              <w:jc w:val="center"/>
            </w:pPr>
            <w:r w:rsidRPr="0044674A">
              <w:t>7</w:t>
            </w:r>
          </w:p>
        </w:tc>
        <w:tc>
          <w:tcPr>
            <w:tcW w:w="0" w:type="auto"/>
          </w:tcPr>
          <w:p w:rsidR="0044674A" w:rsidRPr="0044674A" w:rsidRDefault="0044674A" w:rsidP="0044674A">
            <w:pPr>
              <w:jc w:val="center"/>
            </w:pPr>
            <w:r w:rsidRPr="0044674A">
              <w:t>342</w:t>
            </w:r>
          </w:p>
        </w:tc>
        <w:tc>
          <w:tcPr>
            <w:tcW w:w="0" w:type="auto"/>
          </w:tcPr>
          <w:p w:rsidR="0044674A" w:rsidRPr="0044674A" w:rsidRDefault="0044674A" w:rsidP="0044674A">
            <w:pPr>
              <w:jc w:val="center"/>
            </w:pPr>
            <w:r w:rsidRPr="0044674A">
              <w:t>52</w:t>
            </w:r>
          </w:p>
        </w:tc>
      </w:tr>
      <w:tr w:rsidR="0044674A" w:rsidRPr="0044674A" w:rsidTr="003D6F4F">
        <w:trPr>
          <w:trHeight w:val="146"/>
          <w:jc w:val="center"/>
        </w:trPr>
        <w:tc>
          <w:tcPr>
            <w:tcW w:w="0" w:type="auto"/>
          </w:tcPr>
          <w:p w:rsidR="0044674A" w:rsidRPr="0044674A" w:rsidRDefault="0044674A" w:rsidP="0044674A">
            <w:pPr>
              <w:jc w:val="center"/>
            </w:pPr>
            <w:r w:rsidRPr="0044674A">
              <w:t>City2</w:t>
            </w:r>
          </w:p>
        </w:tc>
        <w:tc>
          <w:tcPr>
            <w:tcW w:w="0" w:type="auto"/>
          </w:tcPr>
          <w:p w:rsidR="0044674A" w:rsidRPr="0044674A" w:rsidRDefault="0044674A" w:rsidP="0044674A">
            <w:pPr>
              <w:jc w:val="center"/>
            </w:pPr>
            <w:r w:rsidRPr="0044674A">
              <w:t>7.2</w:t>
            </w:r>
          </w:p>
        </w:tc>
        <w:tc>
          <w:tcPr>
            <w:tcW w:w="0" w:type="auto"/>
          </w:tcPr>
          <w:p w:rsidR="0044674A" w:rsidRPr="0044674A" w:rsidRDefault="0044674A" w:rsidP="0044674A">
            <w:pPr>
              <w:jc w:val="center"/>
            </w:pPr>
            <w:r w:rsidRPr="0044674A">
              <w:t>164</w:t>
            </w:r>
          </w:p>
        </w:tc>
        <w:tc>
          <w:tcPr>
            <w:tcW w:w="0" w:type="auto"/>
          </w:tcPr>
          <w:p w:rsidR="0044674A" w:rsidRPr="0044674A" w:rsidRDefault="0044674A" w:rsidP="0044674A">
            <w:pPr>
              <w:jc w:val="center"/>
            </w:pPr>
            <w:r w:rsidRPr="0044674A">
              <w:t>3,500</w:t>
            </w:r>
          </w:p>
        </w:tc>
        <w:tc>
          <w:tcPr>
            <w:tcW w:w="0" w:type="auto"/>
          </w:tcPr>
          <w:p w:rsidR="0044674A" w:rsidRPr="0044674A" w:rsidRDefault="0044674A" w:rsidP="0044674A">
            <w:pPr>
              <w:jc w:val="center"/>
            </w:pPr>
            <w:r w:rsidRPr="0044674A">
              <w:t>21</w:t>
            </w:r>
          </w:p>
        </w:tc>
      </w:tr>
      <w:tr w:rsidR="0044674A" w:rsidRPr="0044674A" w:rsidTr="003D6F4F">
        <w:trPr>
          <w:trHeight w:val="146"/>
          <w:jc w:val="center"/>
        </w:trPr>
        <w:tc>
          <w:tcPr>
            <w:tcW w:w="0" w:type="auto"/>
          </w:tcPr>
          <w:p w:rsidR="0044674A" w:rsidRPr="0044674A" w:rsidRDefault="0044674A" w:rsidP="0044674A">
            <w:pPr>
              <w:jc w:val="center"/>
            </w:pPr>
            <w:r w:rsidRPr="0044674A">
              <w:t>City3</w:t>
            </w:r>
          </w:p>
        </w:tc>
        <w:tc>
          <w:tcPr>
            <w:tcW w:w="0" w:type="auto"/>
          </w:tcPr>
          <w:p w:rsidR="0044674A" w:rsidRPr="0044674A" w:rsidRDefault="0044674A" w:rsidP="0044674A">
            <w:pPr>
              <w:jc w:val="center"/>
            </w:pPr>
            <w:r w:rsidRPr="0044674A">
              <w:t>8.6</w:t>
            </w:r>
          </w:p>
        </w:tc>
        <w:tc>
          <w:tcPr>
            <w:tcW w:w="0" w:type="auto"/>
          </w:tcPr>
          <w:p w:rsidR="0044674A" w:rsidRPr="0044674A" w:rsidRDefault="0044674A" w:rsidP="0044674A">
            <w:pPr>
              <w:jc w:val="center"/>
            </w:pPr>
            <w:r w:rsidRPr="0044674A">
              <w:t>232</w:t>
            </w:r>
          </w:p>
        </w:tc>
        <w:tc>
          <w:tcPr>
            <w:tcW w:w="0" w:type="auto"/>
          </w:tcPr>
          <w:p w:rsidR="0044674A" w:rsidRPr="0044674A" w:rsidRDefault="0044674A" w:rsidP="0044674A">
            <w:pPr>
              <w:jc w:val="center"/>
            </w:pPr>
            <w:r w:rsidRPr="0044674A">
              <w:t>39,884</w:t>
            </w:r>
          </w:p>
        </w:tc>
        <w:tc>
          <w:tcPr>
            <w:tcW w:w="0" w:type="auto"/>
          </w:tcPr>
          <w:p w:rsidR="0044674A" w:rsidRPr="0044674A" w:rsidRDefault="0044674A" w:rsidP="0044674A">
            <w:pPr>
              <w:jc w:val="center"/>
            </w:pPr>
            <w:r w:rsidRPr="0044674A">
              <w:t>172</w:t>
            </w:r>
          </w:p>
        </w:tc>
      </w:tr>
    </w:tbl>
    <w:p w:rsidR="0044674A" w:rsidRDefault="0044674A" w:rsidP="0044674A"/>
    <w:p w:rsidR="0044674A" w:rsidRDefault="0044674A" w:rsidP="0044674A"/>
    <w:p w:rsidR="003D6F4F" w:rsidRDefault="003D6F4F" w:rsidP="003D6F4F">
      <w:pPr>
        <w:pStyle w:val="Paragrafoelenco"/>
        <w:numPr>
          <w:ilvl w:val="0"/>
          <w:numId w:val="17"/>
        </w:numPr>
      </w:pPr>
      <w:r w:rsidRPr="003D6F4F">
        <w:t>Sono state selezionate</w:t>
      </w:r>
      <w:r>
        <w:t xml:space="preserve"> due distanze di osservazione, </w:t>
      </w:r>
      <w:r w:rsidRPr="003D6F4F">
        <w:t>l</w:t>
      </w:r>
      <w:r>
        <w:t>a prima</w:t>
      </w:r>
      <w:r w:rsidRPr="003D6F4F">
        <w:t xml:space="preserve"> al perimetro della città (ma ancora all'interno della città, di seguito "osservatore vic</w:t>
      </w:r>
      <w:r>
        <w:t>ino") e la seconda a</w:t>
      </w:r>
      <w:r w:rsidRPr="003D6F4F">
        <w:t xml:space="preserve"> 40 km dal centro della città (ben fuori</w:t>
      </w:r>
      <w:r>
        <w:t xml:space="preserve"> città, di seguito denominato </w:t>
      </w:r>
      <w:r w:rsidRPr="003D6F4F">
        <w:t>"osservatore lontano"). Per coerenza, le posizioni dell'osservatore erano uniformemente posizionate a est del centro della città, con la stessa direzione cardinale rispetto al centro.</w:t>
      </w:r>
    </w:p>
    <w:p w:rsidR="005D16AB" w:rsidRDefault="003D6F4F" w:rsidP="00D70825">
      <w:pPr>
        <w:pStyle w:val="Paragrafoelenco"/>
        <w:numPr>
          <w:ilvl w:val="0"/>
          <w:numId w:val="17"/>
        </w:numPr>
      </w:pPr>
      <w:r>
        <w:t xml:space="preserve">La </w:t>
      </w:r>
      <w:r w:rsidRPr="003D6F4F">
        <w:t xml:space="preserve">Funzione di emissione della città di Garstang </w:t>
      </w:r>
      <w:r w:rsidRPr="005D16AB">
        <w:rPr>
          <w:vertAlign w:val="superscript"/>
        </w:rPr>
        <w:t>27</w:t>
      </w:r>
      <w:r>
        <w:t xml:space="preserve"> è stato usata</w:t>
      </w:r>
      <w:r w:rsidRPr="003D6F4F">
        <w:t xml:space="preserve"> per modellare la diffusione della luce nell'atmosfera. Tra le variabili che possono essere specificate nel modello, due indirizzano la direzione della luce emessa dalle sorgenti luminose: 1) la frazione di luce emessa verso il basso ed isotropicamente riflessa (assumendo una riflessione di massa uniforme del 15%) e </w:t>
      </w:r>
      <w:r>
        <w:t>2) la frazione di luce irradiata</w:t>
      </w:r>
      <w:r w:rsidRPr="003D6F4F">
        <w:t xml:space="preserve"> direttamente verso l'alto (oltre 90 °). Per</w:t>
      </w:r>
      <w:r w:rsidR="005D16AB">
        <w:t xml:space="preserve"> la funzione di</w:t>
      </w:r>
      <w:r w:rsidRPr="003D6F4F">
        <w:t xml:space="preserve"> Garstang, se l'apparecchio non emette luce verso l'alto, l'unica luce che raggiunge il cielo è quella riflessa dal suolo secondo una funzione coseno (rappresentata dalla linea tratteggiata</w:t>
      </w:r>
      <w:r w:rsidR="005D16AB">
        <w:t xml:space="preserve">; la linea </w:t>
      </w:r>
      <w:r w:rsidR="005D16AB" w:rsidRPr="005D16AB">
        <w:t>solid</w:t>
      </w:r>
      <w:r w:rsidR="005D16AB">
        <w:t>a</w:t>
      </w:r>
      <w:r w:rsidR="005D16AB" w:rsidRPr="005D16AB">
        <w:t xml:space="preserve"> r</w:t>
      </w:r>
      <w:r w:rsidR="005D16AB">
        <w:t>appresenta il prodotto</w:t>
      </w:r>
      <w:r w:rsidR="005D16AB" w:rsidRPr="005D16AB">
        <w:t xml:space="preserve"> </w:t>
      </w:r>
      <w:r w:rsidR="005D16AB">
        <w:t>combinato</w:t>
      </w:r>
      <w:r w:rsidR="005D16AB" w:rsidRPr="005D16AB">
        <w:t xml:space="preserve"> </w:t>
      </w:r>
      <w:r w:rsidR="005D16AB">
        <w:t>delle quantitò riflesse verso il basso e quelle emesse verso l’alto.</w:t>
      </w:r>
      <w:r w:rsidR="005D16AB" w:rsidRPr="005D16AB">
        <w:t xml:space="preserve"> </w:t>
      </w:r>
    </w:p>
    <w:p w:rsidR="003D6F4F" w:rsidRDefault="003D6F4F" w:rsidP="0044674A">
      <w:pPr>
        <w:pBdr>
          <w:bottom w:val="single" w:sz="6" w:space="1" w:color="auto"/>
        </w:pBdr>
      </w:pPr>
    </w:p>
    <w:p w:rsidR="005D16AB" w:rsidRDefault="005D16AB" w:rsidP="0044674A">
      <w:pPr>
        <w:pBdr>
          <w:bottom w:val="single" w:sz="6" w:space="1" w:color="auto"/>
        </w:pBdr>
      </w:pPr>
    </w:p>
    <w:p w:rsidR="005D16AB" w:rsidRDefault="005D16AB" w:rsidP="0044674A">
      <w:pPr>
        <w:pBdr>
          <w:bottom w:val="single" w:sz="6" w:space="1" w:color="auto"/>
        </w:pBdr>
      </w:pPr>
    </w:p>
    <w:p w:rsidR="005D16AB" w:rsidRDefault="005D16AB" w:rsidP="0044674A">
      <w:pPr>
        <w:pBdr>
          <w:bottom w:val="single" w:sz="6" w:space="1" w:color="auto"/>
        </w:pBdr>
      </w:pPr>
    </w:p>
    <w:p w:rsidR="005D16AB" w:rsidRDefault="005D16AB" w:rsidP="0044674A">
      <w:pPr>
        <w:pBdr>
          <w:bottom w:val="single" w:sz="6" w:space="1" w:color="auto"/>
        </w:pBdr>
      </w:pPr>
    </w:p>
    <w:p w:rsidR="005D16AB" w:rsidRDefault="005D16AB" w:rsidP="0044674A">
      <w:pPr>
        <w:pBdr>
          <w:bottom w:val="single" w:sz="6" w:space="1" w:color="auto"/>
        </w:pBdr>
      </w:pPr>
    </w:p>
    <w:p w:rsidR="003D6F4F" w:rsidRDefault="003D6F4F" w:rsidP="0044674A">
      <w:pPr>
        <w:pBdr>
          <w:bottom w:val="single" w:sz="6" w:space="1" w:color="auto"/>
        </w:pBdr>
      </w:pPr>
    </w:p>
    <w:p w:rsidR="003D6F4F" w:rsidRDefault="003D6F4F" w:rsidP="0044674A"/>
    <w:p w:rsidR="0044674A" w:rsidRDefault="003D6F4F" w:rsidP="0044674A">
      <w:r w:rsidRPr="003D6F4F">
        <w:t>27 R. H. Garstang. 'Modello per illuminazione artificiale notturna-cielo'. Pubblicazioni della Società Astronomica del Pacifico, vol. 98, n. 601, 1986, pp. 364-375.</w:t>
      </w:r>
    </w:p>
    <w:p w:rsidR="003D6F4F" w:rsidRDefault="003D6F4F" w:rsidP="0044674A"/>
    <w:p w:rsidR="005D16AB" w:rsidRDefault="005D16AB">
      <w:r>
        <w:br w:type="page"/>
      </w:r>
    </w:p>
    <w:p w:rsidR="003D6F4F" w:rsidRDefault="003D6F4F" w:rsidP="0044674A"/>
    <w:p w:rsidR="005D16AB" w:rsidRDefault="005D16AB" w:rsidP="005D16AB">
      <w:pPr>
        <w:jc w:val="center"/>
      </w:pPr>
      <w:r w:rsidRPr="005D16AB">
        <w:rPr>
          <w:noProof/>
          <w:lang w:eastAsia="it-IT"/>
        </w:rPr>
        <w:drawing>
          <wp:inline distT="0" distB="0" distL="0" distR="0">
            <wp:extent cx="4565650" cy="4146550"/>
            <wp:effectExtent l="0" t="0" r="6350" b="635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5650" cy="4146550"/>
                    </a:xfrm>
                    <a:prstGeom prst="rect">
                      <a:avLst/>
                    </a:prstGeom>
                    <a:noFill/>
                    <a:ln>
                      <a:noFill/>
                    </a:ln>
                  </pic:spPr>
                </pic:pic>
              </a:graphicData>
            </a:graphic>
          </wp:inline>
        </w:drawing>
      </w:r>
    </w:p>
    <w:p w:rsidR="005D16AB" w:rsidRDefault="005D16AB" w:rsidP="005D16AB">
      <w:pPr>
        <w:jc w:val="center"/>
      </w:pPr>
    </w:p>
    <w:p w:rsidR="005D16AB" w:rsidRPr="005D16AB" w:rsidRDefault="005D16AB" w:rsidP="005D16AB">
      <w:r>
        <w:rPr>
          <w:b/>
          <w:bCs/>
        </w:rPr>
        <w:t>Figura</w:t>
      </w:r>
      <w:r w:rsidRPr="005D16AB">
        <w:rPr>
          <w:b/>
          <w:bCs/>
        </w:rPr>
        <w:t xml:space="preserve"> 10 </w:t>
      </w:r>
      <w:r>
        <w:rPr>
          <w:b/>
          <w:bCs/>
        </w:rPr>
        <w:t>Funzione di Garstang per l’emissione cittadina</w:t>
      </w:r>
      <w:r w:rsidRPr="005D16AB">
        <w:rPr>
          <w:b/>
          <w:bCs/>
        </w:rPr>
        <w:t xml:space="preserve">. </w:t>
      </w:r>
      <w:r>
        <w:t>Se i lampioni non emettono luce verso l’alto</w:t>
      </w:r>
      <w:r w:rsidRPr="005D16AB">
        <w:t xml:space="preserve">, </w:t>
      </w:r>
      <w:r>
        <w:t>allora l’unica luce che arriva al cielo è riflessa da suolo secondo la funzione coseno</w:t>
      </w:r>
      <w:r w:rsidRPr="005D16AB">
        <w:t xml:space="preserve"> (line</w:t>
      </w:r>
      <w:r>
        <w:t>a tratteggiata</w:t>
      </w:r>
      <w:r w:rsidRPr="005D16AB">
        <w:t xml:space="preserve">). </w:t>
      </w:r>
      <w:r>
        <w:t>Se c’è luce diretta verso l’alto</w:t>
      </w:r>
      <w:r w:rsidRPr="005D16AB">
        <w:t xml:space="preserve">, </w:t>
      </w:r>
      <w:r>
        <w:t>questa luce è emessa in accordo alla funzione</w:t>
      </w:r>
      <w:r w:rsidRPr="005D16AB">
        <w:t xml:space="preserve"> r</w:t>
      </w:r>
      <w:r>
        <w:t>appresentata con la linea punteggiata</w:t>
      </w:r>
      <w:r w:rsidRPr="005D16AB">
        <w:t xml:space="preserve">; </w:t>
      </w:r>
      <w:r w:rsidR="006962BD">
        <w:t>la linea solida rappresenta il prodotto combinato delel quantità riflesse dal basso e quelle emesse verso l’alto</w:t>
      </w:r>
      <w:r w:rsidRPr="005D16AB">
        <w:t>.</w:t>
      </w:r>
    </w:p>
    <w:p w:rsidR="005D16AB" w:rsidRDefault="005D16AB" w:rsidP="0044674A"/>
    <w:p w:rsidR="006962BD" w:rsidRDefault="006962BD" w:rsidP="006962BD">
      <w:pPr>
        <w:pStyle w:val="Paragrafoelenco"/>
        <w:numPr>
          <w:ilvl w:val="0"/>
          <w:numId w:val="18"/>
        </w:numPr>
      </w:pPr>
      <w:r w:rsidRPr="006962BD">
        <w:t>L'uscita luminosa, la SPD e la percentuale di</w:t>
      </w:r>
      <w:r>
        <w:t xml:space="preserve"> luce diretta in alto</w:t>
      </w:r>
      <w:r w:rsidRPr="006962BD">
        <w:t xml:space="preserve"> sono le variabili utilizzate per specificare le caratteristiche del dispositivo nel modello. L'effetto della produzione di luce è stato testato usando va</w:t>
      </w:r>
      <w:r>
        <w:t>lori normalizzati di 500 e 1000lm/</w:t>
      </w:r>
      <w:r w:rsidRPr="006962BD">
        <w:t>apparecchio.</w:t>
      </w:r>
      <w:r w:rsidRPr="006962BD">
        <w:rPr>
          <w:vertAlign w:val="superscript"/>
        </w:rPr>
        <w:t>28</w:t>
      </w:r>
      <w:r w:rsidRPr="006962BD">
        <w:t xml:space="preserve"> Questi valori sono stati </w:t>
      </w:r>
      <w:r>
        <w:t>processati</w:t>
      </w:r>
      <w:r w:rsidRPr="006962BD">
        <w:t xml:space="preserve"> e confrontati per ogni scenario (ad esemp</w:t>
      </w:r>
      <w:r>
        <w:t>io, per tutti i tipi di origine/</w:t>
      </w:r>
      <w:r w:rsidRPr="006962BD">
        <w:t xml:space="preserve">tecnologie). </w:t>
      </w:r>
      <w:r>
        <w:t>Le</w:t>
      </w:r>
      <w:r w:rsidRPr="006962BD">
        <w:t xml:space="preserve"> 11 SPD elencati nella Tabell</w:t>
      </w:r>
      <w:r>
        <w:t>a 2 sono state</w:t>
      </w:r>
      <w:r w:rsidRPr="006962BD">
        <w:t xml:space="preserve"> selezionat</w:t>
      </w:r>
      <w:r>
        <w:t>e</w:t>
      </w:r>
      <w:r w:rsidRPr="006962BD">
        <w:t xml:space="preserve"> per rappresentare tecnologie </w:t>
      </w:r>
      <w:r>
        <w:t xml:space="preserve">tradizionali </w:t>
      </w:r>
      <w:r w:rsidRPr="006962BD">
        <w:t xml:space="preserve">e </w:t>
      </w:r>
      <w:r>
        <w:t xml:space="preserve">i </w:t>
      </w:r>
      <w:r w:rsidRPr="006962BD">
        <w:t xml:space="preserve">vari LED. Un SPD pari a pari energia (tutte le lunghezze d'onda emesse a pari energia) </w:t>
      </w:r>
      <w:r>
        <w:t>sono state</w:t>
      </w:r>
      <w:r w:rsidRPr="006962BD">
        <w:t xml:space="preserve"> incluso per confrontare gli effetti di </w:t>
      </w:r>
      <w:r>
        <w:t>chiarore</w:t>
      </w:r>
      <w:r w:rsidRPr="006962BD">
        <w:t xml:space="preserve"> associati su una lunghezza d'onda granulare, in bande spettrali di 5 nm. I</w:t>
      </w:r>
      <w:r>
        <w:t xml:space="preserve"> rapporti scotopico-photopic (S/</w:t>
      </w:r>
      <w:r w:rsidRPr="006962BD">
        <w:t>P) rispetto a HPS per i LED sono compresi tra 0,70 e 3,13 e sono elencati qui perché questa metrica è indicata come un mezzo per valutare le sorgenti luminose per il potere di incandescenza in alcuni approcci al</w:t>
      </w:r>
      <w:r>
        <w:t xml:space="preserve"> progetto del</w:t>
      </w:r>
      <w:r w:rsidRPr="006962BD">
        <w:t>l'illuminazione stradale.</w:t>
      </w:r>
      <w:r w:rsidRPr="006962BD">
        <w:rPr>
          <w:vertAlign w:val="superscript"/>
        </w:rPr>
        <w:t>29</w:t>
      </w:r>
      <w:r w:rsidRPr="006962BD">
        <w:t xml:space="preserve"> In generale, le sorgenti luminose con più emissioni di circa 507 nm (il picco della funzione di efficienza luminosa scot</w:t>
      </w:r>
      <w:r>
        <w:t>opica umana) avranno rapporti S</w:t>
      </w:r>
      <w:r w:rsidRPr="006962BD">
        <w:t xml:space="preserve"> P più alti.</w:t>
      </w:r>
    </w:p>
    <w:p w:rsidR="006962BD" w:rsidRDefault="006962BD" w:rsidP="0044674A">
      <w:pPr>
        <w:pBdr>
          <w:bottom w:val="single" w:sz="6" w:space="1" w:color="auto"/>
        </w:pBdr>
      </w:pPr>
    </w:p>
    <w:p w:rsidR="006962BD" w:rsidRDefault="006962BD" w:rsidP="0044674A"/>
    <w:p w:rsidR="006962BD" w:rsidRDefault="006962BD" w:rsidP="0044674A">
      <w:r w:rsidRPr="006962BD">
        <w:t>28 Questi valori particolari sono stati selezionati per testare l'influenza relativa dell'uscita piuttosto che per calcolare i valori di output assoluti, dato l'ampia variazione delle uscite dei prodotti all'interno di una singola installazione e l'intento di questo studio per essere più generico nei suoi risultati.</w:t>
      </w:r>
    </w:p>
    <w:p w:rsidR="006962BD" w:rsidRDefault="006962BD" w:rsidP="0044674A">
      <w:r w:rsidRPr="006962BD">
        <w:t>29 Poiché le funzioni di efficienza luminosa fotopica e scotopica sono diverse, quando applicate ad un particolare SPD, essi danno quindi valori diversi per lumen fotopici e scotopici. Il rapporto di questi due valori è il rapporto sc</w:t>
      </w:r>
      <w:r>
        <w:t>otopico-fotopico (S/</w:t>
      </w:r>
      <w:r w:rsidRPr="006962BD">
        <w:t>P).</w:t>
      </w:r>
    </w:p>
    <w:p w:rsidR="006962BD" w:rsidRDefault="006962BD" w:rsidP="0044674A"/>
    <w:p w:rsidR="006962BD" w:rsidRDefault="006962BD" w:rsidP="0044674A"/>
    <w:p w:rsidR="006962BD" w:rsidRDefault="006962BD">
      <w:r>
        <w:br w:type="page"/>
      </w:r>
    </w:p>
    <w:p w:rsidR="00543CC5" w:rsidRPr="009E66FF" w:rsidRDefault="00750D4D" w:rsidP="00543CC5">
      <w:pPr>
        <w:rPr>
          <w:b/>
          <w:bCs/>
        </w:rPr>
      </w:pPr>
      <w:r>
        <w:rPr>
          <w:b/>
          <w:bCs/>
        </w:rPr>
        <w:lastRenderedPageBreak/>
        <w:t>Tabella</w:t>
      </w:r>
      <w:r w:rsidR="00543CC5" w:rsidRPr="00543CC5">
        <w:rPr>
          <w:b/>
          <w:bCs/>
        </w:rPr>
        <w:t xml:space="preserve"> 2 </w:t>
      </w:r>
      <w:r w:rsidR="009E66FF">
        <w:rPr>
          <w:b/>
          <w:bCs/>
        </w:rPr>
        <w:t xml:space="preserve">Le 11 </w:t>
      </w:r>
      <w:r w:rsidR="00543CC5" w:rsidRPr="00543CC5">
        <w:rPr>
          <w:b/>
          <w:bCs/>
        </w:rPr>
        <w:t>SPD</w:t>
      </w:r>
      <w:r w:rsidR="009E66FF">
        <w:rPr>
          <w:b/>
          <w:bCs/>
        </w:rPr>
        <w:t xml:space="preserve"> </w:t>
      </w:r>
      <w:r w:rsidR="00543CC5" w:rsidRPr="00543CC5">
        <w:rPr>
          <w:b/>
          <w:bCs/>
        </w:rPr>
        <w:t>s</w:t>
      </w:r>
      <w:r w:rsidR="009E66FF">
        <w:rPr>
          <w:b/>
          <w:bCs/>
        </w:rPr>
        <w:t>elezionate</w:t>
      </w:r>
      <w:r w:rsidR="00543CC5" w:rsidRPr="00543CC5">
        <w:rPr>
          <w:b/>
          <w:bCs/>
        </w:rPr>
        <w:t>, normaliz</w:t>
      </w:r>
      <w:r w:rsidR="009E66FF">
        <w:rPr>
          <w:b/>
          <w:bCs/>
        </w:rPr>
        <w:t>ate</w:t>
      </w:r>
      <w:r w:rsidR="00543CC5" w:rsidRPr="00543CC5">
        <w:rPr>
          <w:b/>
          <w:bCs/>
        </w:rPr>
        <w:t xml:space="preserve"> </w:t>
      </w:r>
      <w:r w:rsidR="009E66FF">
        <w:rPr>
          <w:b/>
          <w:bCs/>
        </w:rPr>
        <w:t>per una uscita massima di 1</w:t>
      </w:r>
      <w:r w:rsidR="00543CC5" w:rsidRPr="00543CC5">
        <w:rPr>
          <w:b/>
          <w:bCs/>
        </w:rPr>
        <w:t xml:space="preserve">, </w:t>
      </w:r>
      <w:r w:rsidR="009E66FF">
        <w:rPr>
          <w:b/>
          <w:bCs/>
        </w:rPr>
        <w:t xml:space="preserve">verso i rispettivi valori </w:t>
      </w:r>
      <w:r w:rsidR="00543CC5" w:rsidRPr="00543CC5">
        <w:rPr>
          <w:b/>
          <w:bCs/>
        </w:rPr>
        <w:t xml:space="preserve">CCT </w:t>
      </w:r>
      <w:r w:rsidR="009E66FF">
        <w:rPr>
          <w:b/>
          <w:bCs/>
        </w:rPr>
        <w:t>e raporti</w:t>
      </w:r>
      <w:r w:rsidR="00543CC5" w:rsidRPr="00543CC5">
        <w:rPr>
          <w:b/>
          <w:bCs/>
        </w:rPr>
        <w:t xml:space="preserve"> S/P </w:t>
      </w:r>
      <w:r w:rsidR="009E66FF">
        <w:rPr>
          <w:b/>
          <w:bCs/>
        </w:rPr>
        <w:t>(relativi al</w:t>
      </w:r>
      <w:r w:rsidR="00543CC5" w:rsidRPr="00543CC5">
        <w:rPr>
          <w:b/>
          <w:bCs/>
        </w:rPr>
        <w:t xml:space="preserve"> HPS</w:t>
      </w:r>
      <w:r w:rsidR="009E66FF">
        <w:rPr>
          <w:b/>
          <w:bCs/>
        </w:rPr>
        <w:t xml:space="preserve"> (Sodio ad Alta Pressione)</w:t>
      </w:r>
      <w:r w:rsidR="00543CC5" w:rsidRPr="00543CC5">
        <w:rPr>
          <w:b/>
          <w:bCs/>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84"/>
        <w:gridCol w:w="709"/>
        <w:gridCol w:w="709"/>
        <w:gridCol w:w="708"/>
        <w:gridCol w:w="787"/>
        <w:gridCol w:w="859"/>
        <w:gridCol w:w="859"/>
        <w:gridCol w:w="859"/>
        <w:gridCol w:w="859"/>
        <w:gridCol w:w="859"/>
        <w:gridCol w:w="1014"/>
        <w:gridCol w:w="968"/>
      </w:tblGrid>
      <w:tr w:rsidR="00703563" w:rsidRPr="00543CC5" w:rsidTr="00D70825">
        <w:trPr>
          <w:trHeight w:val="152"/>
        </w:trPr>
        <w:tc>
          <w:tcPr>
            <w:tcW w:w="10574" w:type="dxa"/>
            <w:gridSpan w:val="12"/>
          </w:tcPr>
          <w:p w:rsidR="00703563" w:rsidRPr="00543CC5" w:rsidRDefault="00703563" w:rsidP="00543CC5">
            <w:pPr>
              <w:jc w:val="center"/>
            </w:pPr>
            <w:r w:rsidRPr="00543CC5">
              <w:rPr>
                <w:b/>
                <w:bCs/>
              </w:rPr>
              <w:t>Input SPDs (normalized to maximum output of 1)</w:t>
            </w:r>
          </w:p>
        </w:tc>
      </w:tr>
      <w:tr w:rsidR="00703563" w:rsidRPr="00543CC5" w:rsidTr="00D70825">
        <w:trPr>
          <w:trHeight w:val="152"/>
        </w:trPr>
        <w:tc>
          <w:tcPr>
            <w:tcW w:w="10574" w:type="dxa"/>
            <w:gridSpan w:val="12"/>
          </w:tcPr>
          <w:p w:rsidR="00703563" w:rsidRPr="00543CC5" w:rsidRDefault="00703563" w:rsidP="00543CC5">
            <w:pPr>
              <w:jc w:val="center"/>
              <w:rPr>
                <w:b/>
                <w:bCs/>
              </w:rPr>
            </w:pPr>
            <w:r w:rsidRPr="00543CC5">
              <w:rPr>
                <w:b/>
                <w:bCs/>
                <w:noProof/>
                <w:lang w:eastAsia="it-IT"/>
              </w:rPr>
              <w:drawing>
                <wp:inline distT="0" distB="0" distL="0" distR="0" wp14:anchorId="3D637D64" wp14:editId="2CCE47DC">
                  <wp:extent cx="5400806" cy="2590503"/>
                  <wp:effectExtent l="0" t="0" r="0" b="63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9307" cy="2599377"/>
                          </a:xfrm>
                          <a:prstGeom prst="rect">
                            <a:avLst/>
                          </a:prstGeom>
                          <a:noFill/>
                          <a:ln>
                            <a:noFill/>
                          </a:ln>
                        </pic:spPr>
                      </pic:pic>
                    </a:graphicData>
                  </a:graphic>
                </wp:inline>
              </w:drawing>
            </w:r>
          </w:p>
        </w:tc>
      </w:tr>
      <w:tr w:rsidR="009E66FF" w:rsidRPr="00543CC5" w:rsidTr="00D70825">
        <w:trPr>
          <w:trHeight w:val="152"/>
        </w:trPr>
        <w:tc>
          <w:tcPr>
            <w:tcW w:w="10574" w:type="dxa"/>
            <w:gridSpan w:val="12"/>
          </w:tcPr>
          <w:p w:rsidR="009E66FF" w:rsidRPr="00543CC5" w:rsidRDefault="009E66FF" w:rsidP="00543CC5">
            <w:pPr>
              <w:jc w:val="center"/>
            </w:pPr>
            <w:r w:rsidRPr="00543CC5">
              <w:rPr>
                <w:b/>
                <w:bCs/>
              </w:rPr>
              <w:t>Specifications and Calculated Metrics/Values</w:t>
            </w:r>
          </w:p>
        </w:tc>
      </w:tr>
      <w:tr w:rsidR="00543CC5" w:rsidRPr="00543CC5" w:rsidTr="009E66FF">
        <w:trPr>
          <w:trHeight w:val="152"/>
        </w:trPr>
        <w:tc>
          <w:tcPr>
            <w:tcW w:w="1384" w:type="dxa"/>
          </w:tcPr>
          <w:p w:rsidR="00543CC5" w:rsidRPr="00543CC5" w:rsidRDefault="00543CC5" w:rsidP="00543CC5">
            <w:pPr>
              <w:rPr>
                <w:b/>
                <w:bCs/>
                <w:sz w:val="20"/>
                <w:szCs w:val="20"/>
              </w:rPr>
            </w:pPr>
          </w:p>
        </w:tc>
        <w:tc>
          <w:tcPr>
            <w:tcW w:w="709" w:type="dxa"/>
          </w:tcPr>
          <w:p w:rsidR="00543CC5" w:rsidRPr="00543CC5" w:rsidRDefault="00543CC5" w:rsidP="00543CC5">
            <w:pPr>
              <w:rPr>
                <w:sz w:val="20"/>
                <w:szCs w:val="20"/>
              </w:rPr>
            </w:pPr>
            <w:r w:rsidRPr="00543CC5">
              <w:rPr>
                <w:b/>
                <w:bCs/>
                <w:sz w:val="20"/>
                <w:szCs w:val="20"/>
              </w:rPr>
              <w:t>SPD1</w:t>
            </w:r>
          </w:p>
        </w:tc>
        <w:tc>
          <w:tcPr>
            <w:tcW w:w="709" w:type="dxa"/>
          </w:tcPr>
          <w:p w:rsidR="00543CC5" w:rsidRPr="00543CC5" w:rsidRDefault="00543CC5" w:rsidP="00543CC5">
            <w:pPr>
              <w:rPr>
                <w:sz w:val="20"/>
                <w:szCs w:val="20"/>
              </w:rPr>
            </w:pPr>
            <w:r w:rsidRPr="00543CC5">
              <w:rPr>
                <w:b/>
                <w:bCs/>
                <w:sz w:val="20"/>
                <w:szCs w:val="20"/>
              </w:rPr>
              <w:t xml:space="preserve">SPD2 </w:t>
            </w:r>
          </w:p>
        </w:tc>
        <w:tc>
          <w:tcPr>
            <w:tcW w:w="708" w:type="dxa"/>
          </w:tcPr>
          <w:p w:rsidR="00543CC5" w:rsidRPr="00543CC5" w:rsidRDefault="00543CC5" w:rsidP="00543CC5">
            <w:pPr>
              <w:rPr>
                <w:sz w:val="20"/>
                <w:szCs w:val="20"/>
              </w:rPr>
            </w:pPr>
            <w:r w:rsidRPr="00543CC5">
              <w:rPr>
                <w:b/>
                <w:bCs/>
                <w:sz w:val="20"/>
                <w:szCs w:val="20"/>
              </w:rPr>
              <w:t xml:space="preserve">SPD3 </w:t>
            </w:r>
          </w:p>
        </w:tc>
        <w:tc>
          <w:tcPr>
            <w:tcW w:w="787" w:type="dxa"/>
          </w:tcPr>
          <w:p w:rsidR="00543CC5" w:rsidRPr="00543CC5" w:rsidRDefault="00543CC5" w:rsidP="00543CC5">
            <w:pPr>
              <w:rPr>
                <w:sz w:val="20"/>
                <w:szCs w:val="20"/>
              </w:rPr>
            </w:pPr>
            <w:r w:rsidRPr="00543CC5">
              <w:rPr>
                <w:b/>
                <w:bCs/>
                <w:sz w:val="20"/>
                <w:szCs w:val="20"/>
              </w:rPr>
              <w:t xml:space="preserve">SPD4 </w:t>
            </w:r>
          </w:p>
        </w:tc>
        <w:tc>
          <w:tcPr>
            <w:tcW w:w="859" w:type="dxa"/>
          </w:tcPr>
          <w:p w:rsidR="00543CC5" w:rsidRPr="00543CC5" w:rsidRDefault="00543CC5" w:rsidP="00543CC5">
            <w:pPr>
              <w:rPr>
                <w:sz w:val="20"/>
                <w:szCs w:val="20"/>
              </w:rPr>
            </w:pPr>
            <w:r w:rsidRPr="00543CC5">
              <w:rPr>
                <w:b/>
                <w:bCs/>
                <w:sz w:val="20"/>
                <w:szCs w:val="20"/>
              </w:rPr>
              <w:t xml:space="preserve">SPD5 </w:t>
            </w:r>
          </w:p>
        </w:tc>
        <w:tc>
          <w:tcPr>
            <w:tcW w:w="859" w:type="dxa"/>
          </w:tcPr>
          <w:p w:rsidR="00543CC5" w:rsidRPr="00543CC5" w:rsidRDefault="00543CC5" w:rsidP="00543CC5">
            <w:pPr>
              <w:rPr>
                <w:sz w:val="20"/>
                <w:szCs w:val="20"/>
              </w:rPr>
            </w:pPr>
            <w:r w:rsidRPr="00543CC5">
              <w:rPr>
                <w:b/>
                <w:bCs/>
                <w:sz w:val="20"/>
                <w:szCs w:val="20"/>
              </w:rPr>
              <w:t xml:space="preserve">SPD6 </w:t>
            </w:r>
          </w:p>
        </w:tc>
        <w:tc>
          <w:tcPr>
            <w:tcW w:w="859" w:type="dxa"/>
          </w:tcPr>
          <w:p w:rsidR="00543CC5" w:rsidRPr="00543CC5" w:rsidRDefault="00543CC5" w:rsidP="00543CC5">
            <w:pPr>
              <w:rPr>
                <w:sz w:val="20"/>
                <w:szCs w:val="20"/>
              </w:rPr>
            </w:pPr>
            <w:r w:rsidRPr="00543CC5">
              <w:rPr>
                <w:b/>
                <w:bCs/>
                <w:sz w:val="20"/>
                <w:szCs w:val="20"/>
              </w:rPr>
              <w:t xml:space="preserve">SPD7 </w:t>
            </w:r>
          </w:p>
        </w:tc>
        <w:tc>
          <w:tcPr>
            <w:tcW w:w="859" w:type="dxa"/>
          </w:tcPr>
          <w:p w:rsidR="00543CC5" w:rsidRPr="00543CC5" w:rsidRDefault="00543CC5" w:rsidP="00543CC5">
            <w:pPr>
              <w:jc w:val="center"/>
              <w:rPr>
                <w:sz w:val="20"/>
                <w:szCs w:val="20"/>
              </w:rPr>
            </w:pPr>
            <w:r w:rsidRPr="00543CC5">
              <w:rPr>
                <w:b/>
                <w:bCs/>
                <w:sz w:val="20"/>
                <w:szCs w:val="20"/>
              </w:rPr>
              <w:t>SPD8</w:t>
            </w:r>
          </w:p>
        </w:tc>
        <w:tc>
          <w:tcPr>
            <w:tcW w:w="859" w:type="dxa"/>
          </w:tcPr>
          <w:p w:rsidR="00543CC5" w:rsidRPr="00543CC5" w:rsidRDefault="00543CC5" w:rsidP="00543CC5">
            <w:pPr>
              <w:jc w:val="center"/>
              <w:rPr>
                <w:sz w:val="20"/>
                <w:szCs w:val="20"/>
              </w:rPr>
            </w:pPr>
            <w:r w:rsidRPr="00543CC5">
              <w:rPr>
                <w:b/>
                <w:bCs/>
                <w:sz w:val="20"/>
                <w:szCs w:val="20"/>
              </w:rPr>
              <w:t>SPD9</w:t>
            </w:r>
          </w:p>
        </w:tc>
        <w:tc>
          <w:tcPr>
            <w:tcW w:w="1014" w:type="dxa"/>
          </w:tcPr>
          <w:p w:rsidR="00543CC5" w:rsidRPr="00543CC5" w:rsidRDefault="00543CC5" w:rsidP="00543CC5">
            <w:pPr>
              <w:jc w:val="center"/>
              <w:rPr>
                <w:sz w:val="20"/>
                <w:szCs w:val="20"/>
              </w:rPr>
            </w:pPr>
            <w:r w:rsidRPr="00543CC5">
              <w:rPr>
                <w:b/>
                <w:bCs/>
                <w:sz w:val="20"/>
                <w:szCs w:val="20"/>
              </w:rPr>
              <w:t>SPD10</w:t>
            </w:r>
          </w:p>
        </w:tc>
        <w:tc>
          <w:tcPr>
            <w:tcW w:w="968" w:type="dxa"/>
          </w:tcPr>
          <w:p w:rsidR="00543CC5" w:rsidRPr="00543CC5" w:rsidRDefault="00543CC5" w:rsidP="00543CC5">
            <w:pPr>
              <w:jc w:val="center"/>
              <w:rPr>
                <w:sz w:val="20"/>
                <w:szCs w:val="20"/>
              </w:rPr>
            </w:pPr>
            <w:r w:rsidRPr="00543CC5">
              <w:rPr>
                <w:b/>
                <w:bCs/>
                <w:sz w:val="20"/>
                <w:szCs w:val="20"/>
              </w:rPr>
              <w:t>SPD11</w:t>
            </w:r>
          </w:p>
        </w:tc>
      </w:tr>
      <w:tr w:rsidR="00543CC5" w:rsidRPr="00543CC5" w:rsidTr="009E66FF">
        <w:trPr>
          <w:trHeight w:val="161"/>
        </w:trPr>
        <w:tc>
          <w:tcPr>
            <w:tcW w:w="1384" w:type="dxa"/>
          </w:tcPr>
          <w:p w:rsidR="00543CC5" w:rsidRPr="00543CC5" w:rsidRDefault="00543CC5" w:rsidP="00543CC5">
            <w:pPr>
              <w:rPr>
                <w:sz w:val="20"/>
                <w:szCs w:val="20"/>
              </w:rPr>
            </w:pPr>
            <w:r w:rsidRPr="00543CC5">
              <w:rPr>
                <w:sz w:val="20"/>
                <w:szCs w:val="20"/>
              </w:rPr>
              <w:t xml:space="preserve">Source type </w:t>
            </w:r>
          </w:p>
        </w:tc>
        <w:tc>
          <w:tcPr>
            <w:tcW w:w="709" w:type="dxa"/>
          </w:tcPr>
          <w:p w:rsidR="00543CC5" w:rsidRPr="00543CC5" w:rsidRDefault="009E66FF" w:rsidP="00543CC5">
            <w:pPr>
              <w:rPr>
                <w:sz w:val="20"/>
                <w:szCs w:val="20"/>
              </w:rPr>
            </w:pPr>
            <w:r>
              <w:rPr>
                <w:sz w:val="20"/>
                <w:szCs w:val="20"/>
              </w:rPr>
              <w:t>N/A</w:t>
            </w:r>
            <w:r w:rsidRPr="009E66FF">
              <w:rPr>
                <w:sz w:val="20"/>
                <w:szCs w:val="20"/>
                <w:vertAlign w:val="superscript"/>
              </w:rPr>
              <w:t>A</w:t>
            </w:r>
          </w:p>
        </w:tc>
        <w:tc>
          <w:tcPr>
            <w:tcW w:w="709" w:type="dxa"/>
          </w:tcPr>
          <w:p w:rsidR="00543CC5" w:rsidRPr="00543CC5" w:rsidRDefault="00543CC5" w:rsidP="00543CC5">
            <w:pPr>
              <w:rPr>
                <w:sz w:val="20"/>
                <w:szCs w:val="20"/>
              </w:rPr>
            </w:pPr>
            <w:r w:rsidRPr="00543CC5">
              <w:rPr>
                <w:sz w:val="20"/>
                <w:szCs w:val="20"/>
              </w:rPr>
              <w:t xml:space="preserve">HPS </w:t>
            </w:r>
          </w:p>
        </w:tc>
        <w:tc>
          <w:tcPr>
            <w:tcW w:w="708" w:type="dxa"/>
          </w:tcPr>
          <w:p w:rsidR="00543CC5" w:rsidRPr="00543CC5" w:rsidRDefault="00543CC5" w:rsidP="00543CC5">
            <w:pPr>
              <w:rPr>
                <w:sz w:val="20"/>
                <w:szCs w:val="20"/>
              </w:rPr>
            </w:pPr>
            <w:r w:rsidRPr="00543CC5">
              <w:rPr>
                <w:sz w:val="20"/>
                <w:szCs w:val="20"/>
              </w:rPr>
              <w:t xml:space="preserve">LPS </w:t>
            </w:r>
          </w:p>
        </w:tc>
        <w:tc>
          <w:tcPr>
            <w:tcW w:w="787" w:type="dxa"/>
          </w:tcPr>
          <w:p w:rsidR="00543CC5" w:rsidRPr="00543CC5" w:rsidRDefault="00543CC5" w:rsidP="00543CC5">
            <w:pPr>
              <w:rPr>
                <w:sz w:val="20"/>
                <w:szCs w:val="20"/>
              </w:rPr>
            </w:pPr>
            <w:r w:rsidRPr="00543CC5">
              <w:rPr>
                <w:sz w:val="20"/>
                <w:szCs w:val="20"/>
              </w:rPr>
              <w:t>MH</w:t>
            </w:r>
            <w:r w:rsidRPr="009E66FF">
              <w:rPr>
                <w:sz w:val="20"/>
                <w:szCs w:val="20"/>
                <w:vertAlign w:val="superscript"/>
              </w:rPr>
              <w:t>B</w:t>
            </w:r>
            <w:r w:rsidRPr="00543CC5">
              <w:rPr>
                <w:sz w:val="20"/>
                <w:szCs w:val="20"/>
              </w:rPr>
              <w:t xml:space="preserve"> </w:t>
            </w:r>
          </w:p>
        </w:tc>
        <w:tc>
          <w:tcPr>
            <w:tcW w:w="859" w:type="dxa"/>
          </w:tcPr>
          <w:p w:rsidR="00543CC5" w:rsidRPr="00543CC5" w:rsidRDefault="00543CC5" w:rsidP="00543CC5">
            <w:pPr>
              <w:rPr>
                <w:sz w:val="20"/>
                <w:szCs w:val="20"/>
              </w:rPr>
            </w:pPr>
            <w:r w:rsidRPr="00543CC5">
              <w:rPr>
                <w:sz w:val="20"/>
                <w:szCs w:val="20"/>
              </w:rPr>
              <w:t>LED</w:t>
            </w:r>
            <w:r w:rsidRPr="009E66FF">
              <w:rPr>
                <w:sz w:val="20"/>
                <w:szCs w:val="20"/>
                <w:vertAlign w:val="superscript"/>
              </w:rPr>
              <w:t>C</w:t>
            </w:r>
            <w:r w:rsidRPr="00543CC5">
              <w:rPr>
                <w:sz w:val="20"/>
                <w:szCs w:val="20"/>
              </w:rPr>
              <w:t xml:space="preserve"> </w:t>
            </w:r>
          </w:p>
        </w:tc>
        <w:tc>
          <w:tcPr>
            <w:tcW w:w="859" w:type="dxa"/>
          </w:tcPr>
          <w:p w:rsidR="00543CC5" w:rsidRPr="00543CC5" w:rsidRDefault="00543CC5" w:rsidP="00543CC5">
            <w:pPr>
              <w:rPr>
                <w:sz w:val="20"/>
                <w:szCs w:val="20"/>
              </w:rPr>
            </w:pPr>
            <w:r w:rsidRPr="00543CC5">
              <w:rPr>
                <w:sz w:val="20"/>
                <w:szCs w:val="20"/>
              </w:rPr>
              <w:t xml:space="preserve">LED </w:t>
            </w:r>
          </w:p>
        </w:tc>
        <w:tc>
          <w:tcPr>
            <w:tcW w:w="859" w:type="dxa"/>
          </w:tcPr>
          <w:p w:rsidR="00543CC5" w:rsidRPr="00543CC5" w:rsidRDefault="00543CC5" w:rsidP="00543CC5">
            <w:pPr>
              <w:rPr>
                <w:sz w:val="20"/>
                <w:szCs w:val="20"/>
              </w:rPr>
            </w:pPr>
            <w:r w:rsidRPr="00543CC5">
              <w:rPr>
                <w:sz w:val="20"/>
                <w:szCs w:val="20"/>
              </w:rPr>
              <w:t xml:space="preserve">LED </w:t>
            </w:r>
          </w:p>
        </w:tc>
        <w:tc>
          <w:tcPr>
            <w:tcW w:w="859" w:type="dxa"/>
          </w:tcPr>
          <w:p w:rsidR="00543CC5" w:rsidRPr="00543CC5" w:rsidRDefault="00543CC5" w:rsidP="00543CC5">
            <w:pPr>
              <w:jc w:val="center"/>
              <w:rPr>
                <w:sz w:val="20"/>
                <w:szCs w:val="20"/>
              </w:rPr>
            </w:pPr>
            <w:r w:rsidRPr="00543CC5">
              <w:rPr>
                <w:sz w:val="20"/>
                <w:szCs w:val="20"/>
              </w:rPr>
              <w:t>LED</w:t>
            </w:r>
          </w:p>
        </w:tc>
        <w:tc>
          <w:tcPr>
            <w:tcW w:w="859" w:type="dxa"/>
          </w:tcPr>
          <w:p w:rsidR="00543CC5" w:rsidRPr="00543CC5" w:rsidRDefault="00543CC5" w:rsidP="00543CC5">
            <w:pPr>
              <w:jc w:val="center"/>
              <w:rPr>
                <w:sz w:val="20"/>
                <w:szCs w:val="20"/>
              </w:rPr>
            </w:pPr>
            <w:r w:rsidRPr="00543CC5">
              <w:rPr>
                <w:sz w:val="20"/>
                <w:szCs w:val="20"/>
              </w:rPr>
              <w:t>LED</w:t>
            </w:r>
          </w:p>
        </w:tc>
        <w:tc>
          <w:tcPr>
            <w:tcW w:w="1014" w:type="dxa"/>
          </w:tcPr>
          <w:p w:rsidR="00543CC5" w:rsidRPr="00543CC5" w:rsidRDefault="00543CC5" w:rsidP="00543CC5">
            <w:pPr>
              <w:jc w:val="center"/>
              <w:rPr>
                <w:sz w:val="20"/>
                <w:szCs w:val="20"/>
              </w:rPr>
            </w:pPr>
            <w:r w:rsidRPr="00543CC5">
              <w:rPr>
                <w:sz w:val="20"/>
                <w:szCs w:val="20"/>
              </w:rPr>
              <w:t>LED</w:t>
            </w:r>
          </w:p>
        </w:tc>
        <w:tc>
          <w:tcPr>
            <w:tcW w:w="968" w:type="dxa"/>
          </w:tcPr>
          <w:p w:rsidR="00543CC5" w:rsidRPr="00543CC5" w:rsidRDefault="00543CC5" w:rsidP="00543CC5">
            <w:pPr>
              <w:jc w:val="center"/>
              <w:rPr>
                <w:sz w:val="20"/>
                <w:szCs w:val="20"/>
              </w:rPr>
            </w:pPr>
            <w:r w:rsidRPr="00543CC5">
              <w:rPr>
                <w:sz w:val="20"/>
                <w:szCs w:val="20"/>
              </w:rPr>
              <w:t>LED</w:t>
            </w:r>
          </w:p>
        </w:tc>
      </w:tr>
      <w:tr w:rsidR="00543CC5" w:rsidRPr="00543CC5" w:rsidTr="009E66FF">
        <w:trPr>
          <w:trHeight w:val="146"/>
        </w:trPr>
        <w:tc>
          <w:tcPr>
            <w:tcW w:w="1384" w:type="dxa"/>
          </w:tcPr>
          <w:p w:rsidR="00543CC5" w:rsidRPr="00543CC5" w:rsidRDefault="00543CC5" w:rsidP="00543CC5">
            <w:pPr>
              <w:rPr>
                <w:sz w:val="20"/>
                <w:szCs w:val="20"/>
              </w:rPr>
            </w:pPr>
            <w:r w:rsidRPr="00543CC5">
              <w:rPr>
                <w:sz w:val="20"/>
                <w:szCs w:val="20"/>
              </w:rPr>
              <w:t xml:space="preserve">CCT (K) </w:t>
            </w:r>
          </w:p>
        </w:tc>
        <w:tc>
          <w:tcPr>
            <w:tcW w:w="709" w:type="dxa"/>
          </w:tcPr>
          <w:p w:rsidR="00543CC5" w:rsidRPr="00543CC5" w:rsidRDefault="00543CC5" w:rsidP="00543CC5">
            <w:pPr>
              <w:rPr>
                <w:sz w:val="20"/>
                <w:szCs w:val="20"/>
              </w:rPr>
            </w:pPr>
            <w:r w:rsidRPr="00543CC5">
              <w:rPr>
                <w:sz w:val="20"/>
                <w:szCs w:val="20"/>
              </w:rPr>
              <w:t xml:space="preserve">5455 </w:t>
            </w:r>
          </w:p>
        </w:tc>
        <w:tc>
          <w:tcPr>
            <w:tcW w:w="709" w:type="dxa"/>
          </w:tcPr>
          <w:p w:rsidR="00543CC5" w:rsidRPr="00543CC5" w:rsidRDefault="00543CC5" w:rsidP="00543CC5">
            <w:pPr>
              <w:rPr>
                <w:sz w:val="20"/>
                <w:szCs w:val="20"/>
              </w:rPr>
            </w:pPr>
            <w:r w:rsidRPr="00543CC5">
              <w:rPr>
                <w:sz w:val="20"/>
                <w:szCs w:val="20"/>
              </w:rPr>
              <w:t xml:space="preserve">2041 </w:t>
            </w:r>
          </w:p>
        </w:tc>
        <w:tc>
          <w:tcPr>
            <w:tcW w:w="708" w:type="dxa"/>
          </w:tcPr>
          <w:p w:rsidR="00543CC5" w:rsidRPr="00543CC5" w:rsidRDefault="00543CC5" w:rsidP="00543CC5">
            <w:pPr>
              <w:rPr>
                <w:sz w:val="20"/>
                <w:szCs w:val="20"/>
              </w:rPr>
            </w:pPr>
            <w:r w:rsidRPr="00543CC5">
              <w:rPr>
                <w:sz w:val="20"/>
                <w:szCs w:val="20"/>
              </w:rPr>
              <w:t xml:space="preserve">1778 </w:t>
            </w:r>
          </w:p>
        </w:tc>
        <w:tc>
          <w:tcPr>
            <w:tcW w:w="787" w:type="dxa"/>
          </w:tcPr>
          <w:p w:rsidR="00543CC5" w:rsidRPr="00543CC5" w:rsidRDefault="00543CC5" w:rsidP="00543CC5">
            <w:pPr>
              <w:rPr>
                <w:sz w:val="20"/>
                <w:szCs w:val="20"/>
              </w:rPr>
            </w:pPr>
            <w:r w:rsidRPr="00543CC5">
              <w:rPr>
                <w:sz w:val="20"/>
                <w:szCs w:val="20"/>
              </w:rPr>
              <w:t xml:space="preserve">3924 </w:t>
            </w:r>
          </w:p>
        </w:tc>
        <w:tc>
          <w:tcPr>
            <w:tcW w:w="859" w:type="dxa"/>
          </w:tcPr>
          <w:p w:rsidR="00543CC5" w:rsidRPr="00543CC5" w:rsidRDefault="00543CC5" w:rsidP="00543CC5">
            <w:pPr>
              <w:rPr>
                <w:sz w:val="20"/>
                <w:szCs w:val="20"/>
              </w:rPr>
            </w:pPr>
            <w:r w:rsidRPr="00543CC5">
              <w:rPr>
                <w:sz w:val="20"/>
                <w:szCs w:val="20"/>
              </w:rPr>
              <w:t xml:space="preserve">1872 </w:t>
            </w:r>
          </w:p>
        </w:tc>
        <w:tc>
          <w:tcPr>
            <w:tcW w:w="859" w:type="dxa"/>
          </w:tcPr>
          <w:p w:rsidR="00543CC5" w:rsidRPr="00543CC5" w:rsidRDefault="00543CC5" w:rsidP="00543CC5">
            <w:pPr>
              <w:rPr>
                <w:sz w:val="20"/>
                <w:szCs w:val="20"/>
              </w:rPr>
            </w:pPr>
            <w:r w:rsidRPr="00543CC5">
              <w:rPr>
                <w:sz w:val="20"/>
                <w:szCs w:val="20"/>
              </w:rPr>
              <w:t xml:space="preserve">2704 </w:t>
            </w:r>
          </w:p>
        </w:tc>
        <w:tc>
          <w:tcPr>
            <w:tcW w:w="859" w:type="dxa"/>
          </w:tcPr>
          <w:p w:rsidR="00543CC5" w:rsidRPr="00543CC5" w:rsidRDefault="00543CC5" w:rsidP="00543CC5">
            <w:pPr>
              <w:rPr>
                <w:sz w:val="20"/>
                <w:szCs w:val="20"/>
              </w:rPr>
            </w:pPr>
            <w:r w:rsidRPr="00543CC5">
              <w:rPr>
                <w:sz w:val="20"/>
                <w:szCs w:val="20"/>
              </w:rPr>
              <w:t>2981</w:t>
            </w:r>
          </w:p>
        </w:tc>
        <w:tc>
          <w:tcPr>
            <w:tcW w:w="859" w:type="dxa"/>
          </w:tcPr>
          <w:p w:rsidR="00543CC5" w:rsidRPr="00543CC5" w:rsidRDefault="00543CC5" w:rsidP="00543CC5">
            <w:pPr>
              <w:jc w:val="center"/>
              <w:rPr>
                <w:sz w:val="20"/>
                <w:szCs w:val="20"/>
              </w:rPr>
            </w:pPr>
            <w:r w:rsidRPr="00543CC5">
              <w:rPr>
                <w:sz w:val="20"/>
                <w:szCs w:val="20"/>
              </w:rPr>
              <w:t>3940</w:t>
            </w:r>
          </w:p>
        </w:tc>
        <w:tc>
          <w:tcPr>
            <w:tcW w:w="859" w:type="dxa"/>
          </w:tcPr>
          <w:p w:rsidR="00543CC5" w:rsidRPr="00543CC5" w:rsidRDefault="00543CC5" w:rsidP="00543CC5">
            <w:pPr>
              <w:jc w:val="center"/>
              <w:rPr>
                <w:sz w:val="20"/>
                <w:szCs w:val="20"/>
              </w:rPr>
            </w:pPr>
            <w:r w:rsidRPr="00543CC5">
              <w:rPr>
                <w:sz w:val="20"/>
                <w:szCs w:val="20"/>
              </w:rPr>
              <w:t>4101</w:t>
            </w:r>
          </w:p>
        </w:tc>
        <w:tc>
          <w:tcPr>
            <w:tcW w:w="1014" w:type="dxa"/>
          </w:tcPr>
          <w:p w:rsidR="00543CC5" w:rsidRPr="00543CC5" w:rsidRDefault="00543CC5" w:rsidP="00543CC5">
            <w:pPr>
              <w:jc w:val="center"/>
              <w:rPr>
                <w:sz w:val="20"/>
                <w:szCs w:val="20"/>
              </w:rPr>
            </w:pPr>
            <w:r w:rsidRPr="00543CC5">
              <w:rPr>
                <w:sz w:val="20"/>
                <w:szCs w:val="20"/>
              </w:rPr>
              <w:t>5197</w:t>
            </w:r>
          </w:p>
        </w:tc>
        <w:tc>
          <w:tcPr>
            <w:tcW w:w="968" w:type="dxa"/>
          </w:tcPr>
          <w:p w:rsidR="00543CC5" w:rsidRPr="00543CC5" w:rsidRDefault="00543CC5" w:rsidP="00543CC5">
            <w:pPr>
              <w:jc w:val="center"/>
              <w:rPr>
                <w:sz w:val="20"/>
                <w:szCs w:val="20"/>
              </w:rPr>
            </w:pPr>
            <w:r w:rsidRPr="00543CC5">
              <w:rPr>
                <w:sz w:val="20"/>
                <w:szCs w:val="20"/>
              </w:rPr>
              <w:t>6101</w:t>
            </w:r>
          </w:p>
        </w:tc>
      </w:tr>
      <w:tr w:rsidR="00543CC5" w:rsidRPr="00543CC5" w:rsidTr="009E66FF">
        <w:trPr>
          <w:trHeight w:val="146"/>
        </w:trPr>
        <w:tc>
          <w:tcPr>
            <w:tcW w:w="1384" w:type="dxa"/>
          </w:tcPr>
          <w:p w:rsidR="00543CC5" w:rsidRPr="00543CC5" w:rsidRDefault="00543CC5" w:rsidP="00543CC5">
            <w:pPr>
              <w:rPr>
                <w:sz w:val="20"/>
                <w:szCs w:val="20"/>
              </w:rPr>
            </w:pPr>
            <w:r w:rsidRPr="00543CC5">
              <w:rPr>
                <w:sz w:val="20"/>
                <w:szCs w:val="20"/>
              </w:rPr>
              <w:t xml:space="preserve">photopic lux </w:t>
            </w:r>
          </w:p>
        </w:tc>
        <w:tc>
          <w:tcPr>
            <w:tcW w:w="709" w:type="dxa"/>
          </w:tcPr>
          <w:p w:rsidR="00543CC5" w:rsidRPr="00543CC5" w:rsidRDefault="00543CC5" w:rsidP="00543CC5">
            <w:pPr>
              <w:rPr>
                <w:sz w:val="20"/>
                <w:szCs w:val="20"/>
              </w:rPr>
            </w:pPr>
            <w:r w:rsidRPr="00543CC5">
              <w:rPr>
                <w:sz w:val="20"/>
                <w:szCs w:val="20"/>
              </w:rPr>
              <w:t xml:space="preserve">1000 </w:t>
            </w:r>
          </w:p>
        </w:tc>
        <w:tc>
          <w:tcPr>
            <w:tcW w:w="709" w:type="dxa"/>
          </w:tcPr>
          <w:p w:rsidR="00543CC5" w:rsidRPr="00543CC5" w:rsidRDefault="00543CC5" w:rsidP="00543CC5">
            <w:pPr>
              <w:rPr>
                <w:sz w:val="20"/>
                <w:szCs w:val="20"/>
              </w:rPr>
            </w:pPr>
            <w:r w:rsidRPr="00543CC5">
              <w:rPr>
                <w:sz w:val="20"/>
                <w:szCs w:val="20"/>
              </w:rPr>
              <w:t xml:space="preserve">1000 </w:t>
            </w:r>
          </w:p>
        </w:tc>
        <w:tc>
          <w:tcPr>
            <w:tcW w:w="708" w:type="dxa"/>
          </w:tcPr>
          <w:p w:rsidR="00543CC5" w:rsidRPr="00543CC5" w:rsidRDefault="00543CC5" w:rsidP="00543CC5">
            <w:pPr>
              <w:rPr>
                <w:sz w:val="20"/>
                <w:szCs w:val="20"/>
              </w:rPr>
            </w:pPr>
            <w:r w:rsidRPr="00543CC5">
              <w:rPr>
                <w:sz w:val="20"/>
                <w:szCs w:val="20"/>
              </w:rPr>
              <w:t xml:space="preserve">1000 </w:t>
            </w:r>
          </w:p>
        </w:tc>
        <w:tc>
          <w:tcPr>
            <w:tcW w:w="787" w:type="dxa"/>
          </w:tcPr>
          <w:p w:rsidR="00543CC5" w:rsidRPr="00543CC5" w:rsidRDefault="00543CC5" w:rsidP="00543CC5">
            <w:pPr>
              <w:rPr>
                <w:sz w:val="20"/>
                <w:szCs w:val="20"/>
              </w:rPr>
            </w:pPr>
            <w:r w:rsidRPr="00543CC5">
              <w:rPr>
                <w:sz w:val="20"/>
                <w:szCs w:val="20"/>
              </w:rPr>
              <w:t xml:space="preserve">1000 </w:t>
            </w:r>
          </w:p>
        </w:tc>
        <w:tc>
          <w:tcPr>
            <w:tcW w:w="859" w:type="dxa"/>
          </w:tcPr>
          <w:p w:rsidR="00543CC5" w:rsidRPr="00543CC5" w:rsidRDefault="00543CC5" w:rsidP="00543CC5">
            <w:pPr>
              <w:rPr>
                <w:sz w:val="20"/>
                <w:szCs w:val="20"/>
              </w:rPr>
            </w:pPr>
            <w:r w:rsidRPr="00543CC5">
              <w:rPr>
                <w:sz w:val="20"/>
                <w:szCs w:val="20"/>
              </w:rPr>
              <w:t xml:space="preserve">1000 </w:t>
            </w:r>
          </w:p>
        </w:tc>
        <w:tc>
          <w:tcPr>
            <w:tcW w:w="859" w:type="dxa"/>
          </w:tcPr>
          <w:p w:rsidR="00543CC5" w:rsidRPr="00543CC5" w:rsidRDefault="00543CC5" w:rsidP="00543CC5">
            <w:pPr>
              <w:rPr>
                <w:sz w:val="20"/>
                <w:szCs w:val="20"/>
              </w:rPr>
            </w:pPr>
            <w:r w:rsidRPr="00543CC5">
              <w:rPr>
                <w:sz w:val="20"/>
                <w:szCs w:val="20"/>
              </w:rPr>
              <w:t xml:space="preserve">1000 </w:t>
            </w:r>
          </w:p>
        </w:tc>
        <w:tc>
          <w:tcPr>
            <w:tcW w:w="859" w:type="dxa"/>
          </w:tcPr>
          <w:p w:rsidR="00543CC5" w:rsidRPr="00543CC5" w:rsidRDefault="00543CC5" w:rsidP="00543CC5">
            <w:pPr>
              <w:rPr>
                <w:sz w:val="20"/>
                <w:szCs w:val="20"/>
              </w:rPr>
            </w:pPr>
            <w:r w:rsidRPr="00543CC5">
              <w:rPr>
                <w:sz w:val="20"/>
                <w:szCs w:val="20"/>
              </w:rPr>
              <w:t xml:space="preserve">1000 </w:t>
            </w:r>
          </w:p>
        </w:tc>
        <w:tc>
          <w:tcPr>
            <w:tcW w:w="859" w:type="dxa"/>
          </w:tcPr>
          <w:p w:rsidR="00543CC5" w:rsidRPr="00543CC5" w:rsidRDefault="00543CC5" w:rsidP="00543CC5">
            <w:pPr>
              <w:jc w:val="center"/>
              <w:rPr>
                <w:sz w:val="20"/>
                <w:szCs w:val="20"/>
              </w:rPr>
            </w:pPr>
            <w:r w:rsidRPr="00543CC5">
              <w:rPr>
                <w:sz w:val="20"/>
                <w:szCs w:val="20"/>
              </w:rPr>
              <w:t>1000</w:t>
            </w:r>
          </w:p>
        </w:tc>
        <w:tc>
          <w:tcPr>
            <w:tcW w:w="859" w:type="dxa"/>
          </w:tcPr>
          <w:p w:rsidR="00543CC5" w:rsidRPr="00543CC5" w:rsidRDefault="00543CC5" w:rsidP="00543CC5">
            <w:pPr>
              <w:jc w:val="center"/>
              <w:rPr>
                <w:sz w:val="20"/>
                <w:szCs w:val="20"/>
              </w:rPr>
            </w:pPr>
            <w:r w:rsidRPr="00543CC5">
              <w:rPr>
                <w:sz w:val="20"/>
                <w:szCs w:val="20"/>
              </w:rPr>
              <w:t>1000</w:t>
            </w:r>
          </w:p>
        </w:tc>
        <w:tc>
          <w:tcPr>
            <w:tcW w:w="1014" w:type="dxa"/>
          </w:tcPr>
          <w:p w:rsidR="00543CC5" w:rsidRPr="00543CC5" w:rsidRDefault="00543CC5" w:rsidP="00543CC5">
            <w:pPr>
              <w:jc w:val="center"/>
              <w:rPr>
                <w:sz w:val="20"/>
                <w:szCs w:val="20"/>
              </w:rPr>
            </w:pPr>
            <w:r w:rsidRPr="00543CC5">
              <w:rPr>
                <w:sz w:val="20"/>
                <w:szCs w:val="20"/>
              </w:rPr>
              <w:t>1000</w:t>
            </w:r>
          </w:p>
        </w:tc>
        <w:tc>
          <w:tcPr>
            <w:tcW w:w="968" w:type="dxa"/>
          </w:tcPr>
          <w:p w:rsidR="00543CC5" w:rsidRPr="00543CC5" w:rsidRDefault="00543CC5" w:rsidP="00543CC5">
            <w:pPr>
              <w:jc w:val="center"/>
              <w:rPr>
                <w:sz w:val="20"/>
                <w:szCs w:val="20"/>
              </w:rPr>
            </w:pPr>
            <w:r w:rsidRPr="00543CC5">
              <w:rPr>
                <w:sz w:val="20"/>
                <w:szCs w:val="20"/>
              </w:rPr>
              <w:t>1000</w:t>
            </w:r>
          </w:p>
        </w:tc>
      </w:tr>
      <w:tr w:rsidR="00543CC5" w:rsidRPr="00543CC5" w:rsidTr="009E66FF">
        <w:trPr>
          <w:trHeight w:val="146"/>
        </w:trPr>
        <w:tc>
          <w:tcPr>
            <w:tcW w:w="1384" w:type="dxa"/>
          </w:tcPr>
          <w:p w:rsidR="00543CC5" w:rsidRPr="00543CC5" w:rsidRDefault="00543CC5" w:rsidP="00543CC5">
            <w:pPr>
              <w:rPr>
                <w:sz w:val="20"/>
                <w:szCs w:val="20"/>
              </w:rPr>
            </w:pPr>
            <w:r w:rsidRPr="00543CC5">
              <w:rPr>
                <w:sz w:val="20"/>
                <w:szCs w:val="20"/>
              </w:rPr>
              <w:t xml:space="preserve">scotopic lux </w:t>
            </w:r>
          </w:p>
        </w:tc>
        <w:tc>
          <w:tcPr>
            <w:tcW w:w="709" w:type="dxa"/>
          </w:tcPr>
          <w:p w:rsidR="00543CC5" w:rsidRPr="00543CC5" w:rsidRDefault="00543CC5" w:rsidP="00543CC5">
            <w:pPr>
              <w:rPr>
                <w:sz w:val="20"/>
                <w:szCs w:val="20"/>
              </w:rPr>
            </w:pPr>
            <w:r w:rsidRPr="00543CC5">
              <w:rPr>
                <w:sz w:val="20"/>
                <w:szCs w:val="20"/>
              </w:rPr>
              <w:t xml:space="preserve">2265 </w:t>
            </w:r>
          </w:p>
        </w:tc>
        <w:tc>
          <w:tcPr>
            <w:tcW w:w="709" w:type="dxa"/>
          </w:tcPr>
          <w:p w:rsidR="00543CC5" w:rsidRPr="00543CC5" w:rsidRDefault="00543CC5" w:rsidP="00543CC5">
            <w:pPr>
              <w:rPr>
                <w:sz w:val="20"/>
                <w:szCs w:val="20"/>
              </w:rPr>
            </w:pPr>
            <w:r w:rsidRPr="00543CC5">
              <w:rPr>
                <w:sz w:val="20"/>
                <w:szCs w:val="20"/>
              </w:rPr>
              <w:t xml:space="preserve">629 </w:t>
            </w:r>
          </w:p>
        </w:tc>
        <w:tc>
          <w:tcPr>
            <w:tcW w:w="708" w:type="dxa"/>
          </w:tcPr>
          <w:p w:rsidR="00543CC5" w:rsidRPr="00543CC5" w:rsidRDefault="00543CC5" w:rsidP="00543CC5">
            <w:pPr>
              <w:rPr>
                <w:sz w:val="20"/>
                <w:szCs w:val="20"/>
              </w:rPr>
            </w:pPr>
            <w:r w:rsidRPr="00543CC5">
              <w:rPr>
                <w:sz w:val="20"/>
                <w:szCs w:val="20"/>
              </w:rPr>
              <w:t xml:space="preserve">218 </w:t>
            </w:r>
          </w:p>
        </w:tc>
        <w:tc>
          <w:tcPr>
            <w:tcW w:w="787" w:type="dxa"/>
          </w:tcPr>
          <w:p w:rsidR="00543CC5" w:rsidRPr="00543CC5" w:rsidRDefault="00543CC5" w:rsidP="00543CC5">
            <w:pPr>
              <w:rPr>
                <w:sz w:val="20"/>
                <w:szCs w:val="20"/>
              </w:rPr>
            </w:pPr>
            <w:r w:rsidRPr="00543CC5">
              <w:rPr>
                <w:sz w:val="20"/>
                <w:szCs w:val="20"/>
              </w:rPr>
              <w:t xml:space="preserve">1381 </w:t>
            </w:r>
          </w:p>
        </w:tc>
        <w:tc>
          <w:tcPr>
            <w:tcW w:w="859" w:type="dxa"/>
          </w:tcPr>
          <w:p w:rsidR="00543CC5" w:rsidRPr="00543CC5" w:rsidRDefault="00543CC5" w:rsidP="00543CC5">
            <w:pPr>
              <w:rPr>
                <w:sz w:val="20"/>
                <w:szCs w:val="20"/>
              </w:rPr>
            </w:pPr>
            <w:r w:rsidRPr="00543CC5">
              <w:rPr>
                <w:sz w:val="20"/>
                <w:szCs w:val="20"/>
              </w:rPr>
              <w:t xml:space="preserve">445 </w:t>
            </w:r>
          </w:p>
        </w:tc>
        <w:tc>
          <w:tcPr>
            <w:tcW w:w="859" w:type="dxa"/>
          </w:tcPr>
          <w:p w:rsidR="00543CC5" w:rsidRPr="00543CC5" w:rsidRDefault="00543CC5" w:rsidP="00543CC5">
            <w:pPr>
              <w:rPr>
                <w:sz w:val="20"/>
                <w:szCs w:val="20"/>
              </w:rPr>
            </w:pPr>
            <w:r w:rsidRPr="00543CC5">
              <w:rPr>
                <w:sz w:val="20"/>
                <w:szCs w:val="20"/>
              </w:rPr>
              <w:t xml:space="preserve">1173 </w:t>
            </w:r>
          </w:p>
        </w:tc>
        <w:tc>
          <w:tcPr>
            <w:tcW w:w="859" w:type="dxa"/>
          </w:tcPr>
          <w:p w:rsidR="00543CC5" w:rsidRPr="00543CC5" w:rsidRDefault="00543CC5" w:rsidP="00543CC5">
            <w:pPr>
              <w:rPr>
                <w:sz w:val="20"/>
                <w:szCs w:val="20"/>
              </w:rPr>
            </w:pPr>
            <w:r w:rsidRPr="00543CC5">
              <w:rPr>
                <w:sz w:val="20"/>
                <w:szCs w:val="20"/>
              </w:rPr>
              <w:t xml:space="preserve">1188 </w:t>
            </w:r>
          </w:p>
        </w:tc>
        <w:tc>
          <w:tcPr>
            <w:tcW w:w="859" w:type="dxa"/>
          </w:tcPr>
          <w:p w:rsidR="00543CC5" w:rsidRPr="00543CC5" w:rsidRDefault="00543CC5" w:rsidP="00543CC5">
            <w:pPr>
              <w:jc w:val="center"/>
              <w:rPr>
                <w:sz w:val="20"/>
                <w:szCs w:val="20"/>
              </w:rPr>
            </w:pPr>
            <w:r w:rsidRPr="00543CC5">
              <w:rPr>
                <w:sz w:val="20"/>
                <w:szCs w:val="20"/>
              </w:rPr>
              <w:t>1345</w:t>
            </w:r>
          </w:p>
        </w:tc>
        <w:tc>
          <w:tcPr>
            <w:tcW w:w="859" w:type="dxa"/>
          </w:tcPr>
          <w:p w:rsidR="00543CC5" w:rsidRPr="00543CC5" w:rsidRDefault="00543CC5" w:rsidP="00543CC5">
            <w:pPr>
              <w:jc w:val="center"/>
              <w:rPr>
                <w:sz w:val="20"/>
                <w:szCs w:val="20"/>
              </w:rPr>
            </w:pPr>
            <w:r w:rsidRPr="00543CC5">
              <w:rPr>
                <w:sz w:val="20"/>
                <w:szCs w:val="20"/>
              </w:rPr>
              <w:t>1650</w:t>
            </w:r>
          </w:p>
        </w:tc>
        <w:tc>
          <w:tcPr>
            <w:tcW w:w="1014" w:type="dxa"/>
          </w:tcPr>
          <w:p w:rsidR="00543CC5" w:rsidRPr="00543CC5" w:rsidRDefault="00543CC5" w:rsidP="00543CC5">
            <w:pPr>
              <w:jc w:val="center"/>
              <w:rPr>
                <w:sz w:val="20"/>
                <w:szCs w:val="20"/>
              </w:rPr>
            </w:pPr>
            <w:r w:rsidRPr="00543CC5">
              <w:rPr>
                <w:sz w:val="20"/>
                <w:szCs w:val="20"/>
              </w:rPr>
              <w:t>1797</w:t>
            </w:r>
          </w:p>
        </w:tc>
        <w:tc>
          <w:tcPr>
            <w:tcW w:w="968" w:type="dxa"/>
          </w:tcPr>
          <w:p w:rsidR="00543CC5" w:rsidRPr="00543CC5" w:rsidRDefault="00543CC5" w:rsidP="00543CC5">
            <w:pPr>
              <w:jc w:val="center"/>
              <w:rPr>
                <w:sz w:val="20"/>
                <w:szCs w:val="20"/>
              </w:rPr>
            </w:pPr>
            <w:r w:rsidRPr="00543CC5">
              <w:rPr>
                <w:sz w:val="20"/>
                <w:szCs w:val="20"/>
              </w:rPr>
              <w:t>1970</w:t>
            </w:r>
          </w:p>
        </w:tc>
      </w:tr>
      <w:tr w:rsidR="00543CC5" w:rsidRPr="00543CC5" w:rsidTr="009E66FF">
        <w:trPr>
          <w:trHeight w:val="269"/>
        </w:trPr>
        <w:tc>
          <w:tcPr>
            <w:tcW w:w="1384" w:type="dxa"/>
          </w:tcPr>
          <w:p w:rsidR="00543CC5" w:rsidRPr="00543CC5" w:rsidRDefault="00543CC5" w:rsidP="00543CC5">
            <w:pPr>
              <w:rPr>
                <w:sz w:val="20"/>
                <w:szCs w:val="20"/>
              </w:rPr>
            </w:pPr>
            <w:r w:rsidRPr="00543CC5">
              <w:rPr>
                <w:sz w:val="20"/>
                <w:szCs w:val="20"/>
              </w:rPr>
              <w:t xml:space="preserve">S/P ratio (relative to HPS) </w:t>
            </w:r>
          </w:p>
        </w:tc>
        <w:tc>
          <w:tcPr>
            <w:tcW w:w="709" w:type="dxa"/>
          </w:tcPr>
          <w:p w:rsidR="00543CC5" w:rsidRPr="00543CC5" w:rsidRDefault="00543CC5" w:rsidP="00543CC5">
            <w:pPr>
              <w:rPr>
                <w:sz w:val="20"/>
                <w:szCs w:val="20"/>
              </w:rPr>
            </w:pPr>
            <w:r w:rsidRPr="00543CC5">
              <w:rPr>
                <w:sz w:val="20"/>
                <w:szCs w:val="20"/>
              </w:rPr>
              <w:t xml:space="preserve">3.60 </w:t>
            </w:r>
          </w:p>
        </w:tc>
        <w:tc>
          <w:tcPr>
            <w:tcW w:w="709" w:type="dxa"/>
          </w:tcPr>
          <w:p w:rsidR="00543CC5" w:rsidRPr="00543CC5" w:rsidRDefault="00543CC5" w:rsidP="00543CC5">
            <w:pPr>
              <w:rPr>
                <w:sz w:val="20"/>
                <w:szCs w:val="20"/>
              </w:rPr>
            </w:pPr>
            <w:r w:rsidRPr="00543CC5">
              <w:rPr>
                <w:sz w:val="20"/>
                <w:szCs w:val="20"/>
              </w:rPr>
              <w:t xml:space="preserve">1.00 </w:t>
            </w:r>
          </w:p>
        </w:tc>
        <w:tc>
          <w:tcPr>
            <w:tcW w:w="708" w:type="dxa"/>
          </w:tcPr>
          <w:p w:rsidR="00543CC5" w:rsidRPr="00543CC5" w:rsidRDefault="00543CC5" w:rsidP="00543CC5">
            <w:pPr>
              <w:rPr>
                <w:sz w:val="20"/>
                <w:szCs w:val="20"/>
              </w:rPr>
            </w:pPr>
            <w:r w:rsidRPr="00543CC5">
              <w:rPr>
                <w:sz w:val="20"/>
                <w:szCs w:val="20"/>
              </w:rPr>
              <w:t xml:space="preserve">0.35 </w:t>
            </w:r>
          </w:p>
        </w:tc>
        <w:tc>
          <w:tcPr>
            <w:tcW w:w="787" w:type="dxa"/>
          </w:tcPr>
          <w:p w:rsidR="00543CC5" w:rsidRPr="00543CC5" w:rsidRDefault="00543CC5" w:rsidP="00543CC5">
            <w:pPr>
              <w:rPr>
                <w:sz w:val="20"/>
                <w:szCs w:val="20"/>
              </w:rPr>
            </w:pPr>
            <w:r w:rsidRPr="00543CC5">
              <w:rPr>
                <w:sz w:val="20"/>
                <w:szCs w:val="20"/>
              </w:rPr>
              <w:t xml:space="preserve">2.19 </w:t>
            </w:r>
          </w:p>
        </w:tc>
        <w:tc>
          <w:tcPr>
            <w:tcW w:w="859" w:type="dxa"/>
          </w:tcPr>
          <w:p w:rsidR="00543CC5" w:rsidRPr="00543CC5" w:rsidRDefault="00543CC5" w:rsidP="00543CC5">
            <w:pPr>
              <w:rPr>
                <w:sz w:val="20"/>
                <w:szCs w:val="20"/>
              </w:rPr>
            </w:pPr>
            <w:r w:rsidRPr="00543CC5">
              <w:rPr>
                <w:sz w:val="20"/>
                <w:szCs w:val="20"/>
              </w:rPr>
              <w:t xml:space="preserve">0.71 </w:t>
            </w:r>
          </w:p>
        </w:tc>
        <w:tc>
          <w:tcPr>
            <w:tcW w:w="859" w:type="dxa"/>
          </w:tcPr>
          <w:p w:rsidR="00543CC5" w:rsidRPr="00543CC5" w:rsidRDefault="00543CC5" w:rsidP="00543CC5">
            <w:pPr>
              <w:rPr>
                <w:sz w:val="20"/>
                <w:szCs w:val="20"/>
              </w:rPr>
            </w:pPr>
            <w:r w:rsidRPr="00543CC5">
              <w:rPr>
                <w:sz w:val="20"/>
                <w:szCs w:val="20"/>
              </w:rPr>
              <w:t xml:space="preserve">1.86 </w:t>
            </w:r>
          </w:p>
        </w:tc>
        <w:tc>
          <w:tcPr>
            <w:tcW w:w="859" w:type="dxa"/>
          </w:tcPr>
          <w:p w:rsidR="00543CC5" w:rsidRPr="00543CC5" w:rsidRDefault="00543CC5" w:rsidP="00543CC5">
            <w:pPr>
              <w:rPr>
                <w:sz w:val="20"/>
                <w:szCs w:val="20"/>
              </w:rPr>
            </w:pPr>
            <w:r w:rsidRPr="00543CC5">
              <w:rPr>
                <w:sz w:val="20"/>
                <w:szCs w:val="20"/>
              </w:rPr>
              <w:t xml:space="preserve">1.89 </w:t>
            </w:r>
          </w:p>
        </w:tc>
        <w:tc>
          <w:tcPr>
            <w:tcW w:w="859" w:type="dxa"/>
          </w:tcPr>
          <w:p w:rsidR="00543CC5" w:rsidRPr="00543CC5" w:rsidRDefault="00543CC5" w:rsidP="00543CC5">
            <w:pPr>
              <w:jc w:val="center"/>
              <w:rPr>
                <w:sz w:val="20"/>
                <w:szCs w:val="20"/>
              </w:rPr>
            </w:pPr>
            <w:r w:rsidRPr="00543CC5">
              <w:rPr>
                <w:sz w:val="20"/>
                <w:szCs w:val="20"/>
              </w:rPr>
              <w:t>2.14</w:t>
            </w:r>
          </w:p>
        </w:tc>
        <w:tc>
          <w:tcPr>
            <w:tcW w:w="859" w:type="dxa"/>
          </w:tcPr>
          <w:p w:rsidR="00543CC5" w:rsidRPr="00543CC5" w:rsidRDefault="00543CC5" w:rsidP="00543CC5">
            <w:pPr>
              <w:jc w:val="center"/>
              <w:rPr>
                <w:sz w:val="20"/>
                <w:szCs w:val="20"/>
              </w:rPr>
            </w:pPr>
            <w:r w:rsidRPr="00543CC5">
              <w:rPr>
                <w:sz w:val="20"/>
                <w:szCs w:val="20"/>
              </w:rPr>
              <w:t>2.62</w:t>
            </w:r>
          </w:p>
        </w:tc>
        <w:tc>
          <w:tcPr>
            <w:tcW w:w="1014" w:type="dxa"/>
          </w:tcPr>
          <w:p w:rsidR="00543CC5" w:rsidRPr="00543CC5" w:rsidRDefault="00543CC5" w:rsidP="00543CC5">
            <w:pPr>
              <w:jc w:val="center"/>
              <w:rPr>
                <w:sz w:val="20"/>
                <w:szCs w:val="20"/>
              </w:rPr>
            </w:pPr>
            <w:r w:rsidRPr="00543CC5">
              <w:rPr>
                <w:sz w:val="20"/>
                <w:szCs w:val="20"/>
              </w:rPr>
              <w:t>2.85</w:t>
            </w:r>
          </w:p>
        </w:tc>
        <w:tc>
          <w:tcPr>
            <w:tcW w:w="968" w:type="dxa"/>
          </w:tcPr>
          <w:p w:rsidR="00543CC5" w:rsidRPr="00543CC5" w:rsidRDefault="00543CC5" w:rsidP="00543CC5">
            <w:pPr>
              <w:jc w:val="center"/>
              <w:rPr>
                <w:sz w:val="20"/>
                <w:szCs w:val="20"/>
              </w:rPr>
            </w:pPr>
            <w:r w:rsidRPr="00543CC5">
              <w:rPr>
                <w:sz w:val="20"/>
                <w:szCs w:val="20"/>
              </w:rPr>
              <w:t>3.13</w:t>
            </w:r>
          </w:p>
        </w:tc>
      </w:tr>
    </w:tbl>
    <w:p w:rsidR="009E66FF" w:rsidRPr="009E66FF" w:rsidRDefault="009E66FF" w:rsidP="009E66FF">
      <w:pPr>
        <w:rPr>
          <w:rFonts w:ascii="Calibri" w:hAnsi="Calibri" w:cs="Calibri"/>
          <w:color w:val="000000"/>
          <w:sz w:val="20"/>
          <w:szCs w:val="20"/>
        </w:rPr>
      </w:pPr>
      <w:r>
        <w:rPr>
          <w:rFonts w:ascii="Calibri" w:hAnsi="Calibri" w:cs="Calibri"/>
          <w:color w:val="000000"/>
          <w:sz w:val="20"/>
          <w:szCs w:val="20"/>
        </w:rPr>
        <w:t>A</w:t>
      </w:r>
      <w:r w:rsidRPr="009E66FF">
        <w:rPr>
          <w:rFonts w:ascii="Calibri" w:hAnsi="Calibri" w:cs="Calibri"/>
          <w:color w:val="000000"/>
          <w:sz w:val="20"/>
          <w:szCs w:val="20"/>
        </w:rPr>
        <w:t xml:space="preserve"> uguale energia</w:t>
      </w:r>
      <w:r w:rsidR="00750D4D">
        <w:rPr>
          <w:rFonts w:ascii="Calibri" w:hAnsi="Calibri" w:cs="Calibri"/>
          <w:color w:val="000000"/>
          <w:sz w:val="20"/>
          <w:szCs w:val="20"/>
        </w:rPr>
        <w:t xml:space="preserve"> </w:t>
      </w:r>
      <w:r w:rsidRPr="009E66FF">
        <w:rPr>
          <w:rFonts w:ascii="Calibri" w:hAnsi="Calibri" w:cs="Calibri"/>
          <w:color w:val="000000"/>
          <w:sz w:val="20"/>
          <w:szCs w:val="20"/>
        </w:rPr>
        <w:br/>
        <w:t>B Alogenuro di metallo</w:t>
      </w:r>
      <w:r w:rsidRPr="009E66FF">
        <w:rPr>
          <w:rFonts w:ascii="Calibri" w:hAnsi="Calibri" w:cs="Calibri"/>
          <w:color w:val="000000"/>
          <w:sz w:val="20"/>
          <w:szCs w:val="20"/>
        </w:rPr>
        <w:br/>
        <w:t>C LED ambra con trasformazione in fosforo (PC)</w:t>
      </w:r>
    </w:p>
    <w:p w:rsidR="009E66FF" w:rsidRDefault="009E66FF" w:rsidP="009E66FF"/>
    <w:p w:rsidR="00750D4D" w:rsidRPr="00703563" w:rsidRDefault="00750D4D" w:rsidP="00703563">
      <w:pPr>
        <w:pStyle w:val="Paragrafoelenco"/>
        <w:numPr>
          <w:ilvl w:val="0"/>
          <w:numId w:val="18"/>
        </w:numPr>
        <w:rPr>
          <w:vertAlign w:val="superscript"/>
        </w:rPr>
      </w:pPr>
      <w:r w:rsidRPr="00750D4D">
        <w:t xml:space="preserve">Quattro valori di </w:t>
      </w:r>
      <w:r>
        <w:t>luci verso l’alto</w:t>
      </w:r>
      <w:r w:rsidRPr="00750D4D">
        <w:t xml:space="preserve"> sono stati selezionati per il confronto: di 0% </w:t>
      </w:r>
      <w:r>
        <w:t xml:space="preserve">luce vers o l’alto, </w:t>
      </w:r>
      <w:r w:rsidRPr="00750D4D">
        <w:t xml:space="preserve">rappresenta approssimativamente ciò che precedentemente era definito come </w:t>
      </w:r>
      <w:r>
        <w:t xml:space="preserve">impianti </w:t>
      </w:r>
      <w:r w:rsidRPr="00750D4D">
        <w:t xml:space="preserve">"full cut-off" </w:t>
      </w:r>
      <w:r w:rsidRPr="00703563">
        <w:rPr>
          <w:vertAlign w:val="superscript"/>
        </w:rPr>
        <w:t>30</w:t>
      </w:r>
      <w:r w:rsidRPr="00750D4D">
        <w:t xml:space="preserve">; i valori del 2% e del 5% rappresentano rispettivamente </w:t>
      </w:r>
      <w:r>
        <w:t xml:space="preserve">le percentuali </w:t>
      </w:r>
      <w:r w:rsidRPr="00750D4D">
        <w:t xml:space="preserve">delle </w:t>
      </w:r>
      <w:r>
        <w:t xml:space="preserve">insegne e delle </w:t>
      </w:r>
      <w:r w:rsidRPr="00750D4D">
        <w:t xml:space="preserve">luci stradali tipiche e relativamente povere </w:t>
      </w:r>
      <w:r>
        <w:t>con</w:t>
      </w:r>
      <w:r w:rsidRPr="00750D4D">
        <w:t xml:space="preserve"> lenti a goccia, </w:t>
      </w:r>
      <w:r w:rsidRPr="00703563">
        <w:rPr>
          <w:vertAlign w:val="superscript"/>
        </w:rPr>
        <w:t>31</w:t>
      </w:r>
      <w:r w:rsidRPr="00750D4D">
        <w:t>; e il 10% approssima una buona luce ottica post-top di qualità ottica. Il valore del 10% consente anche il confronto tra modelli, dal momento che molti altri modelli di illuminazione del cielo assumono un incremento del 10% da luci di strada.</w:t>
      </w:r>
      <w:r w:rsidRPr="00703563">
        <w:rPr>
          <w:vertAlign w:val="superscript"/>
        </w:rPr>
        <w:t>32</w:t>
      </w:r>
    </w:p>
    <w:p w:rsidR="00703563" w:rsidRPr="00703563" w:rsidRDefault="00750D4D" w:rsidP="00D70825">
      <w:pPr>
        <w:pStyle w:val="Paragrafoelenco"/>
        <w:numPr>
          <w:ilvl w:val="0"/>
          <w:numId w:val="18"/>
        </w:numPr>
        <w:pBdr>
          <w:bottom w:val="single" w:sz="6" w:space="31" w:color="auto"/>
        </w:pBdr>
      </w:pPr>
      <w:r w:rsidRPr="00750D4D">
        <w:t xml:space="preserve">Le condizioni atmosferiche modellate </w:t>
      </w:r>
      <w:r>
        <w:t xml:space="preserve">ne </w:t>
      </w:r>
      <w:r w:rsidRPr="00750D4D">
        <w:t xml:space="preserve">includono quattro che sono "senza nuvole" con vari gradi di torbidità e uno di copertura nuvolosa (vedi tabella 3). Per tutte le condizioni, non vi erano oggetti di blocco della luce vicino all'orizzonte. I dati della stazione AERONET della NASA sono stati utilizzati come fonti di riferimento per varie </w:t>
      </w:r>
      <w:r w:rsidR="00703563">
        <w:t>condizioni</w:t>
      </w:r>
      <w:r w:rsidR="00703563" w:rsidRPr="00750D4D">
        <w:t xml:space="preserve"> </w:t>
      </w:r>
      <w:r w:rsidRPr="00750D4D">
        <w:t>atmosfe</w:t>
      </w:r>
      <w:r w:rsidR="009767A7">
        <w:t>r</w:t>
      </w:r>
      <w:r w:rsidR="00703563">
        <w:t>iche negli</w:t>
      </w:r>
      <w:r w:rsidR="00703563" w:rsidRPr="00703563">
        <w:t xml:space="preserve"> U.S.</w:t>
      </w:r>
      <w:r w:rsidR="00703563">
        <w:t>A.</w:t>
      </w:r>
      <w:r w:rsidR="00703563" w:rsidRPr="00703563">
        <w:rPr>
          <w:vertAlign w:val="superscript"/>
        </w:rPr>
        <w:t>33</w:t>
      </w:r>
      <w:r w:rsidR="00703563" w:rsidRPr="00703563">
        <w:t xml:space="preserve"> Queste condizioni sono </w:t>
      </w:r>
      <w:r w:rsidR="00A636C6">
        <w:t>liberamente</w:t>
      </w:r>
      <w:r w:rsidR="00703563" w:rsidRPr="00703563">
        <w:t xml:space="preserve"> basate sulle città degli Stati Uniti con l'intento di rappresentare una gamma realistica di condizioni.</w:t>
      </w:r>
    </w:p>
    <w:p w:rsidR="009767A7" w:rsidRDefault="009767A7" w:rsidP="00703563">
      <w:pPr>
        <w:pBdr>
          <w:bottom w:val="single" w:sz="6" w:space="31" w:color="auto"/>
        </w:pBdr>
        <w:ind w:left="360"/>
      </w:pPr>
    </w:p>
    <w:p w:rsidR="00750D4D" w:rsidRPr="00703563" w:rsidRDefault="009767A7" w:rsidP="009E66FF">
      <w:pPr>
        <w:rPr>
          <w:sz w:val="20"/>
          <w:szCs w:val="20"/>
        </w:rPr>
      </w:pPr>
      <w:r w:rsidRPr="00703563">
        <w:rPr>
          <w:sz w:val="20"/>
          <w:szCs w:val="20"/>
        </w:rPr>
        <w:t>3</w:t>
      </w:r>
      <w:r w:rsidR="00750D4D" w:rsidRPr="00703563">
        <w:rPr>
          <w:sz w:val="20"/>
          <w:szCs w:val="20"/>
        </w:rPr>
        <w:t xml:space="preserve">0 Il termine è stato deprecato dalla </w:t>
      </w:r>
      <w:r w:rsidR="00703563" w:rsidRPr="00703563">
        <w:rPr>
          <w:sz w:val="20"/>
          <w:szCs w:val="20"/>
        </w:rPr>
        <w:t>Il</w:t>
      </w:r>
      <w:r w:rsidR="00703563">
        <w:rPr>
          <w:sz w:val="20"/>
          <w:szCs w:val="20"/>
        </w:rPr>
        <w:t>luminating Engineering Society.</w:t>
      </w:r>
    </w:p>
    <w:p w:rsidR="00750D4D" w:rsidRPr="00703563" w:rsidRDefault="00750D4D" w:rsidP="009E66FF">
      <w:pPr>
        <w:rPr>
          <w:sz w:val="20"/>
          <w:szCs w:val="20"/>
        </w:rPr>
      </w:pPr>
      <w:r w:rsidRPr="00703563">
        <w:rPr>
          <w:sz w:val="20"/>
          <w:szCs w:val="20"/>
        </w:rPr>
        <w:t>31 Un sondaggio condotto da PNNL nel febbraio 2017 di 10 prodotti HPS a goccia a forma di cobra leggeri prodotti da grandi produttori ha trovato una gamma di uplight tra lo 0,1% e il 5,1%, con una media del 2,4%.</w:t>
      </w:r>
    </w:p>
    <w:p w:rsidR="00750D4D" w:rsidRPr="00703563" w:rsidRDefault="00750D4D" w:rsidP="009E66FF">
      <w:pPr>
        <w:rPr>
          <w:sz w:val="20"/>
          <w:szCs w:val="20"/>
        </w:rPr>
      </w:pPr>
      <w:r w:rsidRPr="00703563">
        <w:rPr>
          <w:sz w:val="20"/>
          <w:szCs w:val="20"/>
        </w:rPr>
        <w:t>32 È importante notare che in questo sforzo non è stata presa in considerazione il blocco degli ostacoli, il che potrebbe aver aumentato l'impatto dei valori di uplight più elevati. A seconda dell'ambiente particolare, una porzione della lampada (soprattutto la luce che viaggiava emessa vicino all'orizzonte) potrebbe essere bloccata e assorbita dagli ostacoli, in modo che l'eliminazione della luce d'urto negli apparecchi non avrà un effetto drammatico. Vedi: M. Aubé. "Comportamento fisico della propagazione della luce antropogenica nell'ambiente notturno". Transazioni filosofiche della Royal Society - B, vol. 370, n. 1667, 2015.</w:t>
      </w:r>
    </w:p>
    <w:p w:rsidR="00750D4D" w:rsidRDefault="00750D4D" w:rsidP="009E66FF"/>
    <w:p w:rsidR="00703563" w:rsidRDefault="00703563">
      <w:r>
        <w:br w:type="page"/>
      </w:r>
    </w:p>
    <w:p w:rsidR="00703563" w:rsidRDefault="00D70825" w:rsidP="00D70825">
      <w:pPr>
        <w:pStyle w:val="Paragrafoelenco"/>
        <w:numPr>
          <w:ilvl w:val="0"/>
          <w:numId w:val="19"/>
        </w:numPr>
      </w:pPr>
      <w:r w:rsidRPr="00D70825">
        <w:lastRenderedPageBreak/>
        <w:t>I risultati sono riportati sia in termini ponderati</w:t>
      </w:r>
      <w:r>
        <w:t>,</w:t>
      </w:r>
      <w:r w:rsidRPr="00D70825">
        <w:t xml:space="preserve"> sia in peso scotopico per consentire il loro utilizzo nell'analizzare una varietà di impatti biologici, umani e non umani.</w:t>
      </w:r>
    </w:p>
    <w:p w:rsidR="00D70825" w:rsidRDefault="00D70825" w:rsidP="00D70825"/>
    <w:p w:rsidR="00D70825" w:rsidRDefault="00D70825" w:rsidP="00D70825">
      <w:r w:rsidRPr="00D70825">
        <w:t>Tabella 3 Condizioni atmosferiche modellate.</w:t>
      </w:r>
    </w:p>
    <w:tbl>
      <w:tblPr>
        <w:tblW w:w="0" w:type="auto"/>
        <w:tblInd w:w="-108" w:type="dxa"/>
        <w:tblBorders>
          <w:top w:val="nil"/>
          <w:left w:val="nil"/>
          <w:bottom w:val="nil"/>
          <w:right w:val="nil"/>
        </w:tblBorders>
        <w:tblLook w:val="0000" w:firstRow="0" w:lastRow="0" w:firstColumn="0" w:lastColumn="0" w:noHBand="0" w:noVBand="0"/>
      </w:tblPr>
      <w:tblGrid>
        <w:gridCol w:w="1242"/>
        <w:gridCol w:w="4518"/>
        <w:gridCol w:w="763"/>
        <w:gridCol w:w="763"/>
        <w:gridCol w:w="763"/>
        <w:gridCol w:w="763"/>
        <w:gridCol w:w="1657"/>
      </w:tblGrid>
      <w:tr w:rsidR="004E4AC9" w:rsidRPr="00D70825" w:rsidTr="004E4AC9">
        <w:trPr>
          <w:trHeight w:val="152"/>
        </w:trPr>
        <w:tc>
          <w:tcPr>
            <w:tcW w:w="5760" w:type="dxa"/>
            <w:gridSpan w:val="2"/>
          </w:tcPr>
          <w:p w:rsidR="004E4AC9" w:rsidRPr="00D70825" w:rsidRDefault="004E4AC9" w:rsidP="00B127FE">
            <w:r w:rsidRPr="00D70825">
              <w:rPr>
                <w:b/>
                <w:bCs/>
              </w:rPr>
              <w:t xml:space="preserve">Atmospheric conditions </w:t>
            </w:r>
          </w:p>
        </w:tc>
        <w:tc>
          <w:tcPr>
            <w:tcW w:w="763" w:type="dxa"/>
          </w:tcPr>
          <w:p w:rsidR="004E4AC9" w:rsidRPr="00D70825" w:rsidRDefault="004E4AC9" w:rsidP="004E4AC9">
            <w:pPr>
              <w:jc w:val="center"/>
            </w:pPr>
            <w:r w:rsidRPr="00D70825">
              <w:rPr>
                <w:b/>
                <w:bCs/>
              </w:rPr>
              <w:t>ATM1</w:t>
            </w:r>
          </w:p>
        </w:tc>
        <w:tc>
          <w:tcPr>
            <w:tcW w:w="0" w:type="auto"/>
          </w:tcPr>
          <w:p w:rsidR="004E4AC9" w:rsidRPr="00D70825" w:rsidRDefault="004E4AC9" w:rsidP="004E4AC9">
            <w:pPr>
              <w:jc w:val="center"/>
            </w:pPr>
            <w:r w:rsidRPr="00D70825">
              <w:rPr>
                <w:b/>
                <w:bCs/>
              </w:rPr>
              <w:t>ATM2</w:t>
            </w:r>
          </w:p>
        </w:tc>
        <w:tc>
          <w:tcPr>
            <w:tcW w:w="0" w:type="auto"/>
          </w:tcPr>
          <w:p w:rsidR="004E4AC9" w:rsidRPr="00D70825" w:rsidRDefault="004E4AC9" w:rsidP="004E4AC9">
            <w:pPr>
              <w:jc w:val="center"/>
            </w:pPr>
            <w:r w:rsidRPr="00D70825">
              <w:rPr>
                <w:b/>
                <w:bCs/>
              </w:rPr>
              <w:t>ATM3</w:t>
            </w:r>
          </w:p>
        </w:tc>
        <w:tc>
          <w:tcPr>
            <w:tcW w:w="0" w:type="auto"/>
          </w:tcPr>
          <w:p w:rsidR="004E4AC9" w:rsidRPr="00D70825" w:rsidRDefault="004E4AC9" w:rsidP="004E4AC9">
            <w:pPr>
              <w:jc w:val="center"/>
            </w:pPr>
            <w:r w:rsidRPr="00D70825">
              <w:rPr>
                <w:b/>
                <w:bCs/>
              </w:rPr>
              <w:t>ATM4</w:t>
            </w:r>
          </w:p>
        </w:tc>
        <w:tc>
          <w:tcPr>
            <w:tcW w:w="1657" w:type="dxa"/>
          </w:tcPr>
          <w:p w:rsidR="004E4AC9" w:rsidRPr="00D70825" w:rsidRDefault="004E4AC9" w:rsidP="004E4AC9">
            <w:pPr>
              <w:jc w:val="center"/>
            </w:pPr>
            <w:r w:rsidRPr="00D70825">
              <w:rPr>
                <w:b/>
                <w:bCs/>
              </w:rPr>
              <w:t>ATM5</w:t>
            </w:r>
          </w:p>
        </w:tc>
      </w:tr>
      <w:tr w:rsidR="00B127FE" w:rsidRPr="00D70825" w:rsidTr="004E4AC9">
        <w:trPr>
          <w:trHeight w:val="152"/>
        </w:trPr>
        <w:tc>
          <w:tcPr>
            <w:tcW w:w="1242" w:type="dxa"/>
          </w:tcPr>
          <w:p w:rsidR="00B127FE" w:rsidRPr="00D70825" w:rsidRDefault="00B127FE" w:rsidP="00B127FE">
            <w:r w:rsidRPr="00D70825">
              <w:rPr>
                <w:b/>
                <w:bCs/>
              </w:rPr>
              <w:t xml:space="preserve">Clouds </w:t>
            </w:r>
          </w:p>
        </w:tc>
        <w:tc>
          <w:tcPr>
            <w:tcW w:w="4518" w:type="dxa"/>
          </w:tcPr>
          <w:p w:rsidR="00B127FE" w:rsidRPr="00D70825" w:rsidRDefault="00B127FE" w:rsidP="00B127FE"/>
        </w:tc>
        <w:tc>
          <w:tcPr>
            <w:tcW w:w="763" w:type="dxa"/>
          </w:tcPr>
          <w:p w:rsidR="00B127FE" w:rsidRPr="00D70825" w:rsidRDefault="00B127FE" w:rsidP="004E4AC9">
            <w:pPr>
              <w:jc w:val="center"/>
            </w:pPr>
            <w:r w:rsidRPr="00D70825">
              <w:t>No</w:t>
            </w:r>
          </w:p>
        </w:tc>
        <w:tc>
          <w:tcPr>
            <w:tcW w:w="0" w:type="auto"/>
          </w:tcPr>
          <w:p w:rsidR="00B127FE" w:rsidRPr="00D70825" w:rsidRDefault="00B127FE" w:rsidP="004E4AC9">
            <w:pPr>
              <w:jc w:val="center"/>
            </w:pPr>
            <w:r w:rsidRPr="00D70825">
              <w:t>No</w:t>
            </w:r>
          </w:p>
        </w:tc>
        <w:tc>
          <w:tcPr>
            <w:tcW w:w="0" w:type="auto"/>
          </w:tcPr>
          <w:p w:rsidR="00B127FE" w:rsidRPr="00D70825" w:rsidRDefault="00B127FE" w:rsidP="004E4AC9">
            <w:pPr>
              <w:jc w:val="center"/>
            </w:pPr>
            <w:r w:rsidRPr="00D70825">
              <w:t>No</w:t>
            </w:r>
          </w:p>
        </w:tc>
        <w:tc>
          <w:tcPr>
            <w:tcW w:w="0" w:type="auto"/>
          </w:tcPr>
          <w:p w:rsidR="00B127FE" w:rsidRPr="00D70825" w:rsidRDefault="00B127FE" w:rsidP="004E4AC9">
            <w:pPr>
              <w:jc w:val="center"/>
            </w:pPr>
            <w:r w:rsidRPr="00D70825">
              <w:t>No</w:t>
            </w:r>
          </w:p>
        </w:tc>
        <w:tc>
          <w:tcPr>
            <w:tcW w:w="0" w:type="auto"/>
          </w:tcPr>
          <w:p w:rsidR="00B127FE" w:rsidRPr="00D70825" w:rsidRDefault="00B127FE" w:rsidP="004E4AC9">
            <w:pPr>
              <w:jc w:val="center"/>
            </w:pPr>
            <w:r w:rsidRPr="00D70825">
              <w:t>Yes</w:t>
            </w:r>
          </w:p>
        </w:tc>
      </w:tr>
      <w:tr w:rsidR="00B127FE" w:rsidRPr="00D70825" w:rsidTr="004E4AC9">
        <w:trPr>
          <w:trHeight w:val="275"/>
        </w:trPr>
        <w:tc>
          <w:tcPr>
            <w:tcW w:w="1242" w:type="dxa"/>
          </w:tcPr>
          <w:p w:rsidR="00B127FE" w:rsidRPr="00D70825" w:rsidRDefault="00B127FE" w:rsidP="00B127FE">
            <w:r w:rsidRPr="00D70825">
              <w:rPr>
                <w:b/>
                <w:bCs/>
              </w:rPr>
              <w:t xml:space="preserve">Cloud </w:t>
            </w:r>
          </w:p>
        </w:tc>
        <w:tc>
          <w:tcPr>
            <w:tcW w:w="4518" w:type="dxa"/>
          </w:tcPr>
          <w:p w:rsidR="00B127FE" w:rsidRPr="00D70825" w:rsidRDefault="00B127FE" w:rsidP="00B127FE">
            <w:r w:rsidRPr="00D70825">
              <w:t xml:space="preserve">Altitude of the cloud base (km) </w:t>
            </w:r>
          </w:p>
        </w:tc>
        <w:tc>
          <w:tcPr>
            <w:tcW w:w="763" w:type="dxa"/>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1</w:t>
            </w:r>
          </w:p>
        </w:tc>
      </w:tr>
      <w:tr w:rsidR="00B127FE" w:rsidRPr="00D70825" w:rsidTr="004E4AC9">
        <w:trPr>
          <w:trHeight w:val="146"/>
        </w:trPr>
        <w:tc>
          <w:tcPr>
            <w:tcW w:w="1242" w:type="dxa"/>
            <w:tcBorders>
              <w:bottom w:val="nil"/>
            </w:tcBorders>
          </w:tcPr>
          <w:p w:rsidR="00B127FE" w:rsidRPr="00D70825" w:rsidRDefault="00B127FE" w:rsidP="00B127FE">
            <w:r w:rsidRPr="00D70825">
              <w:rPr>
                <w:b/>
                <w:bCs/>
              </w:rPr>
              <w:t>Details</w:t>
            </w:r>
          </w:p>
        </w:tc>
        <w:tc>
          <w:tcPr>
            <w:tcW w:w="4518" w:type="dxa"/>
            <w:tcBorders>
              <w:bottom w:val="single" w:sz="4" w:space="0" w:color="auto"/>
            </w:tcBorders>
          </w:tcPr>
          <w:p w:rsidR="00B127FE" w:rsidRPr="00D70825" w:rsidRDefault="00B127FE" w:rsidP="00B127FE">
            <w:r w:rsidRPr="00D70825">
              <w:t>Spectral albedo (select data file)</w:t>
            </w:r>
          </w:p>
        </w:tc>
        <w:tc>
          <w:tcPr>
            <w:tcW w:w="763" w:type="dxa"/>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N/A</w:t>
            </w:r>
          </w:p>
        </w:tc>
        <w:tc>
          <w:tcPr>
            <w:tcW w:w="0" w:type="auto"/>
          </w:tcPr>
          <w:p w:rsidR="00B127FE" w:rsidRPr="00D70825" w:rsidRDefault="00B127FE" w:rsidP="004E4AC9">
            <w:pPr>
              <w:jc w:val="center"/>
            </w:pPr>
            <w:r w:rsidRPr="00D70825">
              <w:t>Altocumulus.cld</w:t>
            </w:r>
          </w:p>
        </w:tc>
      </w:tr>
      <w:tr w:rsidR="00B127FE" w:rsidRPr="00D70825" w:rsidTr="004E4AC9">
        <w:trPr>
          <w:trHeight w:val="356"/>
        </w:trPr>
        <w:tc>
          <w:tcPr>
            <w:tcW w:w="1242" w:type="dxa"/>
            <w:tcBorders>
              <w:top w:val="nil"/>
              <w:left w:val="nil"/>
              <w:bottom w:val="nil"/>
              <w:right w:val="nil"/>
            </w:tcBorders>
          </w:tcPr>
          <w:p w:rsidR="00B127FE" w:rsidRPr="00D70825" w:rsidRDefault="00B127FE" w:rsidP="00B127FE"/>
        </w:tc>
        <w:tc>
          <w:tcPr>
            <w:tcW w:w="4518" w:type="dxa"/>
            <w:tcBorders>
              <w:top w:val="single" w:sz="4" w:space="0" w:color="auto"/>
              <w:left w:val="nil"/>
              <w:bottom w:val="single" w:sz="4" w:space="0" w:color="auto"/>
              <w:right w:val="single" w:sz="4" w:space="0" w:color="auto"/>
            </w:tcBorders>
          </w:tcPr>
          <w:p w:rsidR="00B127FE" w:rsidRPr="00D70825" w:rsidRDefault="00B127FE" w:rsidP="00B127FE">
            <w:r w:rsidRPr="00D70825">
              <w:t>Reference aerosol optical thickness</w:t>
            </w:r>
            <w:r w:rsidRPr="004E4AC9">
              <w:rPr>
                <w:vertAlign w:val="superscript"/>
              </w:rPr>
              <w:t xml:space="preserve">A,B </w:t>
            </w:r>
            <w:r w:rsidRPr="00D70825">
              <w:t xml:space="preserve">at 500 nm </w:t>
            </w:r>
          </w:p>
        </w:tc>
        <w:tc>
          <w:tcPr>
            <w:tcW w:w="763" w:type="dxa"/>
            <w:tcBorders>
              <w:left w:val="single" w:sz="4" w:space="0" w:color="auto"/>
            </w:tcBorders>
          </w:tcPr>
          <w:p w:rsidR="00B127FE" w:rsidRPr="00D70825" w:rsidRDefault="00B127FE" w:rsidP="004E4AC9">
            <w:pPr>
              <w:jc w:val="center"/>
            </w:pPr>
            <w:r w:rsidRPr="00D70825">
              <w:t>0.1</w:t>
            </w:r>
          </w:p>
        </w:tc>
        <w:tc>
          <w:tcPr>
            <w:tcW w:w="0" w:type="auto"/>
          </w:tcPr>
          <w:p w:rsidR="00B127FE" w:rsidRPr="00D70825" w:rsidRDefault="00B127FE" w:rsidP="004E4AC9">
            <w:pPr>
              <w:jc w:val="center"/>
            </w:pPr>
            <w:r w:rsidRPr="00D70825">
              <w:t>0.1</w:t>
            </w:r>
          </w:p>
        </w:tc>
        <w:tc>
          <w:tcPr>
            <w:tcW w:w="0" w:type="auto"/>
          </w:tcPr>
          <w:p w:rsidR="00B127FE" w:rsidRPr="00D70825" w:rsidRDefault="00B127FE" w:rsidP="004E4AC9">
            <w:pPr>
              <w:jc w:val="center"/>
            </w:pPr>
            <w:r w:rsidRPr="00D70825">
              <w:t>0.5</w:t>
            </w:r>
          </w:p>
        </w:tc>
        <w:tc>
          <w:tcPr>
            <w:tcW w:w="0" w:type="auto"/>
          </w:tcPr>
          <w:p w:rsidR="00B127FE" w:rsidRPr="00D70825" w:rsidRDefault="00B127FE" w:rsidP="004E4AC9">
            <w:pPr>
              <w:jc w:val="center"/>
            </w:pPr>
            <w:r w:rsidRPr="00D70825">
              <w:t>0.5</w:t>
            </w:r>
          </w:p>
        </w:tc>
        <w:tc>
          <w:tcPr>
            <w:tcW w:w="0" w:type="auto"/>
          </w:tcPr>
          <w:p w:rsidR="00B127FE" w:rsidRPr="00D70825" w:rsidRDefault="00B127FE" w:rsidP="004E4AC9">
            <w:pPr>
              <w:jc w:val="center"/>
            </w:pPr>
            <w:r w:rsidRPr="00D70825">
              <w:t>0.5</w:t>
            </w:r>
          </w:p>
        </w:tc>
      </w:tr>
      <w:tr w:rsidR="00B127FE" w:rsidRPr="00D70825" w:rsidTr="004E4AC9">
        <w:trPr>
          <w:trHeight w:val="161"/>
        </w:trPr>
        <w:tc>
          <w:tcPr>
            <w:tcW w:w="1242" w:type="dxa"/>
            <w:tcBorders>
              <w:top w:val="nil"/>
              <w:left w:val="nil"/>
              <w:bottom w:val="nil"/>
              <w:right w:val="nil"/>
            </w:tcBorders>
          </w:tcPr>
          <w:p w:rsidR="00B127FE" w:rsidRPr="00D70825" w:rsidRDefault="00B127FE" w:rsidP="00B127FE">
            <w:r w:rsidRPr="00D70825">
              <w:rPr>
                <w:b/>
                <w:bCs/>
              </w:rPr>
              <w:t>Aerosols</w:t>
            </w:r>
          </w:p>
        </w:tc>
        <w:tc>
          <w:tcPr>
            <w:tcW w:w="4518" w:type="dxa"/>
            <w:tcBorders>
              <w:top w:val="single" w:sz="4" w:space="0" w:color="auto"/>
              <w:left w:val="nil"/>
              <w:bottom w:val="single" w:sz="4" w:space="0" w:color="auto"/>
              <w:right w:val="single" w:sz="4" w:space="0" w:color="auto"/>
            </w:tcBorders>
          </w:tcPr>
          <w:p w:rsidR="00B127FE" w:rsidRPr="00D70825" w:rsidRDefault="00B127FE" w:rsidP="00B127FE">
            <w:r w:rsidRPr="00D70825">
              <w:t>Angstrom exponent</w:t>
            </w:r>
            <w:r w:rsidRPr="004E4AC9">
              <w:rPr>
                <w:vertAlign w:val="superscript"/>
              </w:rPr>
              <w:t>A</w:t>
            </w:r>
          </w:p>
        </w:tc>
        <w:tc>
          <w:tcPr>
            <w:tcW w:w="763" w:type="dxa"/>
            <w:tcBorders>
              <w:left w:val="single" w:sz="4" w:space="0" w:color="auto"/>
            </w:tcBorders>
          </w:tcPr>
          <w:p w:rsidR="00B127FE" w:rsidRPr="00D70825" w:rsidRDefault="00B127FE" w:rsidP="004E4AC9">
            <w:pPr>
              <w:jc w:val="center"/>
            </w:pPr>
            <w:r w:rsidRPr="00D70825">
              <w:t>0.3</w:t>
            </w:r>
          </w:p>
        </w:tc>
        <w:tc>
          <w:tcPr>
            <w:tcW w:w="0" w:type="auto"/>
          </w:tcPr>
          <w:p w:rsidR="00B127FE" w:rsidRPr="00D70825" w:rsidRDefault="00B127FE" w:rsidP="004E4AC9">
            <w:pPr>
              <w:jc w:val="center"/>
            </w:pPr>
            <w:r w:rsidRPr="00D70825">
              <w:t>1.5</w:t>
            </w:r>
          </w:p>
        </w:tc>
        <w:tc>
          <w:tcPr>
            <w:tcW w:w="0" w:type="auto"/>
          </w:tcPr>
          <w:p w:rsidR="00B127FE" w:rsidRPr="00D70825" w:rsidRDefault="00B127FE" w:rsidP="004E4AC9">
            <w:pPr>
              <w:jc w:val="center"/>
            </w:pPr>
            <w:r w:rsidRPr="00D70825">
              <w:t>0.3</w:t>
            </w:r>
          </w:p>
        </w:tc>
        <w:tc>
          <w:tcPr>
            <w:tcW w:w="0" w:type="auto"/>
          </w:tcPr>
          <w:p w:rsidR="00B127FE" w:rsidRPr="00D70825" w:rsidRDefault="00B127FE" w:rsidP="004E4AC9">
            <w:pPr>
              <w:jc w:val="center"/>
            </w:pPr>
            <w:r w:rsidRPr="00D70825">
              <w:t>1.5</w:t>
            </w:r>
          </w:p>
        </w:tc>
        <w:tc>
          <w:tcPr>
            <w:tcW w:w="0" w:type="auto"/>
          </w:tcPr>
          <w:p w:rsidR="00B127FE" w:rsidRPr="00D70825" w:rsidRDefault="00B127FE" w:rsidP="004E4AC9">
            <w:pPr>
              <w:jc w:val="center"/>
            </w:pPr>
            <w:r w:rsidRPr="00D70825">
              <w:t>1.0</w:t>
            </w:r>
          </w:p>
        </w:tc>
      </w:tr>
      <w:tr w:rsidR="00B127FE" w:rsidRPr="00D70825" w:rsidTr="004E4AC9">
        <w:trPr>
          <w:trHeight w:val="146"/>
        </w:trPr>
        <w:tc>
          <w:tcPr>
            <w:tcW w:w="1242" w:type="dxa"/>
            <w:tcBorders>
              <w:top w:val="nil"/>
              <w:left w:val="nil"/>
              <w:bottom w:val="nil"/>
              <w:right w:val="nil"/>
            </w:tcBorders>
          </w:tcPr>
          <w:p w:rsidR="00B127FE" w:rsidRPr="00D70825" w:rsidRDefault="00B127FE" w:rsidP="00B127FE"/>
        </w:tc>
        <w:tc>
          <w:tcPr>
            <w:tcW w:w="4518" w:type="dxa"/>
            <w:tcBorders>
              <w:top w:val="single" w:sz="4" w:space="0" w:color="auto"/>
              <w:left w:val="nil"/>
              <w:bottom w:val="single" w:sz="4" w:space="0" w:color="auto"/>
              <w:right w:val="single" w:sz="4" w:space="0" w:color="auto"/>
            </w:tcBorders>
          </w:tcPr>
          <w:p w:rsidR="00B127FE" w:rsidRPr="00D70825" w:rsidRDefault="00B127FE" w:rsidP="00B127FE">
            <w:r w:rsidRPr="00D70825">
              <w:t>Scale height for the molecular atmosphere (km)</w:t>
            </w:r>
          </w:p>
        </w:tc>
        <w:tc>
          <w:tcPr>
            <w:tcW w:w="763" w:type="dxa"/>
            <w:tcBorders>
              <w:left w:val="single" w:sz="4" w:space="0" w:color="auto"/>
            </w:tcBorders>
          </w:tcPr>
          <w:p w:rsidR="00B127FE" w:rsidRPr="00D70825" w:rsidRDefault="00B127FE" w:rsidP="004E4AC9">
            <w:pPr>
              <w:jc w:val="center"/>
            </w:pPr>
            <w:r w:rsidRPr="00D70825">
              <w:t>8.0</w:t>
            </w:r>
          </w:p>
        </w:tc>
        <w:tc>
          <w:tcPr>
            <w:tcW w:w="0" w:type="auto"/>
          </w:tcPr>
          <w:p w:rsidR="00B127FE" w:rsidRPr="00D70825" w:rsidRDefault="00B127FE" w:rsidP="004E4AC9">
            <w:pPr>
              <w:jc w:val="center"/>
            </w:pPr>
            <w:r w:rsidRPr="00D70825">
              <w:t>8.0</w:t>
            </w:r>
          </w:p>
        </w:tc>
        <w:tc>
          <w:tcPr>
            <w:tcW w:w="0" w:type="auto"/>
          </w:tcPr>
          <w:p w:rsidR="00B127FE" w:rsidRPr="00D70825" w:rsidRDefault="00B127FE" w:rsidP="004E4AC9">
            <w:pPr>
              <w:jc w:val="center"/>
            </w:pPr>
            <w:r w:rsidRPr="00D70825">
              <w:t>8.0</w:t>
            </w:r>
          </w:p>
        </w:tc>
        <w:tc>
          <w:tcPr>
            <w:tcW w:w="0" w:type="auto"/>
          </w:tcPr>
          <w:p w:rsidR="00B127FE" w:rsidRPr="00D70825" w:rsidRDefault="00B127FE" w:rsidP="004E4AC9">
            <w:pPr>
              <w:jc w:val="center"/>
            </w:pPr>
            <w:r w:rsidRPr="00D70825">
              <w:t>8.0</w:t>
            </w:r>
          </w:p>
        </w:tc>
        <w:tc>
          <w:tcPr>
            <w:tcW w:w="0" w:type="auto"/>
          </w:tcPr>
          <w:p w:rsidR="00B127FE" w:rsidRPr="00D70825" w:rsidRDefault="00B127FE" w:rsidP="004E4AC9">
            <w:pPr>
              <w:jc w:val="center"/>
            </w:pPr>
            <w:r w:rsidRPr="00D70825">
              <w:t>8.0</w:t>
            </w:r>
          </w:p>
        </w:tc>
      </w:tr>
      <w:tr w:rsidR="00B127FE" w:rsidRPr="00D70825" w:rsidTr="004E4AC9">
        <w:trPr>
          <w:trHeight w:val="146"/>
        </w:trPr>
        <w:tc>
          <w:tcPr>
            <w:tcW w:w="1242" w:type="dxa"/>
            <w:tcBorders>
              <w:top w:val="nil"/>
              <w:left w:val="nil"/>
              <w:bottom w:val="nil"/>
              <w:right w:val="nil"/>
            </w:tcBorders>
          </w:tcPr>
          <w:p w:rsidR="00B127FE" w:rsidRPr="00D70825" w:rsidRDefault="00B127FE" w:rsidP="00B127FE"/>
        </w:tc>
        <w:tc>
          <w:tcPr>
            <w:tcW w:w="4518" w:type="dxa"/>
            <w:tcBorders>
              <w:top w:val="single" w:sz="4" w:space="0" w:color="auto"/>
              <w:left w:val="nil"/>
              <w:bottom w:val="single" w:sz="4" w:space="0" w:color="auto"/>
              <w:right w:val="single" w:sz="4" w:space="0" w:color="auto"/>
            </w:tcBorders>
          </w:tcPr>
          <w:p w:rsidR="00B127FE" w:rsidRPr="00D70825" w:rsidRDefault="00B127FE" w:rsidP="00B127FE">
            <w:r w:rsidRPr="00D70825">
              <w:t>Vertical gradient of the aerosol concentration (1/km)</w:t>
            </w:r>
          </w:p>
        </w:tc>
        <w:tc>
          <w:tcPr>
            <w:tcW w:w="763" w:type="dxa"/>
            <w:tcBorders>
              <w:left w:val="single" w:sz="4" w:space="0" w:color="auto"/>
            </w:tcBorders>
          </w:tcPr>
          <w:p w:rsidR="00B127FE" w:rsidRPr="00D70825" w:rsidRDefault="00B127FE" w:rsidP="004E4AC9">
            <w:pPr>
              <w:jc w:val="center"/>
            </w:pPr>
            <w:r w:rsidRPr="00D70825">
              <w:t>0.65</w:t>
            </w:r>
          </w:p>
        </w:tc>
        <w:tc>
          <w:tcPr>
            <w:tcW w:w="0" w:type="auto"/>
          </w:tcPr>
          <w:p w:rsidR="00B127FE" w:rsidRPr="00D70825" w:rsidRDefault="00B127FE" w:rsidP="004E4AC9">
            <w:pPr>
              <w:jc w:val="center"/>
            </w:pPr>
            <w:r w:rsidRPr="00D70825">
              <w:t>0.65</w:t>
            </w:r>
          </w:p>
        </w:tc>
        <w:tc>
          <w:tcPr>
            <w:tcW w:w="0" w:type="auto"/>
          </w:tcPr>
          <w:p w:rsidR="00B127FE" w:rsidRPr="00D70825" w:rsidRDefault="00B127FE" w:rsidP="004E4AC9">
            <w:pPr>
              <w:jc w:val="center"/>
            </w:pPr>
            <w:r w:rsidRPr="00D70825">
              <w:t>0.65</w:t>
            </w:r>
          </w:p>
        </w:tc>
        <w:tc>
          <w:tcPr>
            <w:tcW w:w="0" w:type="auto"/>
          </w:tcPr>
          <w:p w:rsidR="00B127FE" w:rsidRPr="00D70825" w:rsidRDefault="00B127FE" w:rsidP="004E4AC9">
            <w:pPr>
              <w:jc w:val="center"/>
            </w:pPr>
            <w:r w:rsidRPr="00D70825">
              <w:t>0.65</w:t>
            </w:r>
          </w:p>
        </w:tc>
        <w:tc>
          <w:tcPr>
            <w:tcW w:w="0" w:type="auto"/>
          </w:tcPr>
          <w:p w:rsidR="00B127FE" w:rsidRPr="00D70825" w:rsidRDefault="00B127FE" w:rsidP="004E4AC9">
            <w:pPr>
              <w:jc w:val="center"/>
            </w:pPr>
            <w:r w:rsidRPr="00D70825">
              <w:t>0.65</w:t>
            </w:r>
          </w:p>
        </w:tc>
      </w:tr>
      <w:tr w:rsidR="00B127FE" w:rsidRPr="00D70825" w:rsidTr="004E4AC9">
        <w:trPr>
          <w:trHeight w:val="275"/>
        </w:trPr>
        <w:tc>
          <w:tcPr>
            <w:tcW w:w="1242" w:type="dxa"/>
            <w:tcBorders>
              <w:top w:val="nil"/>
            </w:tcBorders>
          </w:tcPr>
          <w:p w:rsidR="00B127FE" w:rsidRPr="00D70825" w:rsidRDefault="00B127FE" w:rsidP="00B127FE">
            <w:r w:rsidRPr="00D70825">
              <w:rPr>
                <w:b/>
                <w:bCs/>
              </w:rPr>
              <w:t xml:space="preserve">Data files </w:t>
            </w:r>
          </w:p>
        </w:tc>
        <w:tc>
          <w:tcPr>
            <w:tcW w:w="4518" w:type="dxa"/>
            <w:tcBorders>
              <w:top w:val="single" w:sz="4" w:space="0" w:color="auto"/>
            </w:tcBorders>
          </w:tcPr>
          <w:p w:rsidR="00B127FE" w:rsidRPr="00D70825" w:rsidRDefault="00B127FE" w:rsidP="00B127FE">
            <w:r w:rsidRPr="00D70825">
              <w:t>single scattering albedo</w:t>
            </w:r>
          </w:p>
        </w:tc>
        <w:tc>
          <w:tcPr>
            <w:tcW w:w="4709" w:type="dxa"/>
            <w:gridSpan w:val="5"/>
          </w:tcPr>
          <w:p w:rsidR="00B127FE" w:rsidRPr="00D70825" w:rsidRDefault="00B127FE" w:rsidP="00BA1335">
            <w:pPr>
              <w:jc w:val="center"/>
            </w:pPr>
            <w:r w:rsidRPr="00D70825">
              <w:t>constant_background.ssa</w:t>
            </w:r>
          </w:p>
        </w:tc>
      </w:tr>
      <w:tr w:rsidR="00B127FE" w:rsidRPr="00D70825" w:rsidTr="004E4AC9">
        <w:trPr>
          <w:trHeight w:val="146"/>
        </w:trPr>
        <w:tc>
          <w:tcPr>
            <w:tcW w:w="1242" w:type="dxa"/>
            <w:tcBorders>
              <w:bottom w:val="nil"/>
            </w:tcBorders>
          </w:tcPr>
          <w:p w:rsidR="00B127FE" w:rsidRPr="00D70825" w:rsidRDefault="00B127FE" w:rsidP="00B127FE">
            <w:r w:rsidRPr="00D70825">
              <w:rPr>
                <w:b/>
                <w:bCs/>
              </w:rPr>
              <w:t>for</w:t>
            </w:r>
          </w:p>
        </w:tc>
        <w:tc>
          <w:tcPr>
            <w:tcW w:w="4518" w:type="dxa"/>
            <w:tcBorders>
              <w:bottom w:val="nil"/>
            </w:tcBorders>
          </w:tcPr>
          <w:p w:rsidR="00B127FE" w:rsidRPr="00D70825" w:rsidRDefault="00B127FE" w:rsidP="00B127FE">
            <w:r w:rsidRPr="00D70825">
              <w:t>asymmetry parameter</w:t>
            </w:r>
          </w:p>
        </w:tc>
        <w:tc>
          <w:tcPr>
            <w:tcW w:w="4709" w:type="dxa"/>
            <w:gridSpan w:val="5"/>
            <w:tcBorders>
              <w:bottom w:val="nil"/>
            </w:tcBorders>
          </w:tcPr>
          <w:p w:rsidR="00B127FE" w:rsidRPr="00D70825" w:rsidRDefault="00B127FE" w:rsidP="00BA1335">
            <w:pPr>
              <w:jc w:val="center"/>
            </w:pPr>
            <w:r w:rsidRPr="00D70825">
              <w:t>constant_background.ssa</w:t>
            </w:r>
          </w:p>
        </w:tc>
      </w:tr>
      <w:tr w:rsidR="00B127FE" w:rsidRPr="00D70825" w:rsidTr="004E4AC9">
        <w:trPr>
          <w:trHeight w:val="152"/>
        </w:trPr>
        <w:tc>
          <w:tcPr>
            <w:tcW w:w="1242" w:type="dxa"/>
            <w:tcBorders>
              <w:top w:val="nil"/>
              <w:bottom w:val="single" w:sz="4" w:space="0" w:color="auto"/>
            </w:tcBorders>
          </w:tcPr>
          <w:p w:rsidR="00B127FE" w:rsidRPr="00D70825" w:rsidRDefault="00B127FE" w:rsidP="00B127FE">
            <w:r w:rsidRPr="00D70825">
              <w:rPr>
                <w:b/>
                <w:bCs/>
              </w:rPr>
              <w:t xml:space="preserve">Horizon </w:t>
            </w:r>
          </w:p>
        </w:tc>
        <w:tc>
          <w:tcPr>
            <w:tcW w:w="9227" w:type="dxa"/>
            <w:gridSpan w:val="6"/>
            <w:tcBorders>
              <w:top w:val="nil"/>
              <w:bottom w:val="single" w:sz="4" w:space="0" w:color="auto"/>
            </w:tcBorders>
          </w:tcPr>
          <w:p w:rsidR="00B127FE" w:rsidRPr="00D70825" w:rsidRDefault="00B127FE" w:rsidP="00B127FE">
            <w:r w:rsidRPr="00D70825">
              <w:t>No light blocking objects near horizon</w:t>
            </w:r>
          </w:p>
        </w:tc>
      </w:tr>
    </w:tbl>
    <w:p w:rsidR="000E27F8" w:rsidRPr="00D70825" w:rsidRDefault="000E27F8" w:rsidP="00D70825">
      <w:r w:rsidRPr="00D70825">
        <w:t xml:space="preserve">A Aerosol optical thickness is an expression of particle density; the Angstrom exponent is an expression of particle size. </w:t>
      </w:r>
    </w:p>
    <w:p w:rsidR="000E27F8" w:rsidRPr="00D70825" w:rsidRDefault="000E27F8" w:rsidP="00D70825">
      <w:r w:rsidRPr="00D70825">
        <w:t xml:space="preserve">B Aerosol optical thickness is a term used in the model; most U.S. sources appear to use the term aerosol optical depth. </w:t>
      </w:r>
    </w:p>
    <w:p w:rsidR="00D70825" w:rsidRDefault="00D70825" w:rsidP="00D70825"/>
    <w:p w:rsidR="004E4AC9" w:rsidRDefault="004E4AC9" w:rsidP="004E4AC9">
      <w:pPr>
        <w:pStyle w:val="Titolo2"/>
      </w:pPr>
      <w:r w:rsidRPr="004E4AC9">
        <w:t>5.2 Atmosfera</w:t>
      </w:r>
    </w:p>
    <w:p w:rsidR="00406793" w:rsidRPr="0057633F" w:rsidRDefault="004E4AC9" w:rsidP="00D70825">
      <w:r w:rsidRPr="0057633F">
        <w:t xml:space="preserve">Le condizioni atmosferiche svolgono un ruolo significativo sia nel livello </w:t>
      </w:r>
      <w:r w:rsidR="0057633F" w:rsidRPr="0057633F">
        <w:t>sia</w:t>
      </w:r>
      <w:r w:rsidRPr="0057633F">
        <w:t xml:space="preserve"> nella distribuzione del </w:t>
      </w:r>
      <w:r w:rsidR="00406793" w:rsidRPr="0057633F">
        <w:t>chiarore</w:t>
      </w:r>
      <w:r w:rsidRPr="0057633F">
        <w:t xml:space="preserve"> del cielo. Le nuvole hanno il maggior effetto per gli osservatori all'interno della città perché agiscono come riflettori immediati, spedendo la luce riflessa a terra. Allo stesso tempo, queste nuvole limitano la luce localmente, riducendo efficacemente la luce osservata ad una certa distanza dalla città. In condizioni climatiche, perciò, gli osservatori distanti ricevono solo luce che è sparsa attraverso un lungo strato di nuvole e / o emette direttamente in angoli solo leggermente al di sopra dell'orizzontale.</w:t>
      </w:r>
    </w:p>
    <w:p w:rsidR="00406793" w:rsidRPr="0057633F" w:rsidRDefault="00406793" w:rsidP="00D70825"/>
    <w:p w:rsidR="00406793" w:rsidRPr="0057633F" w:rsidRDefault="004E4AC9" w:rsidP="00D70825">
      <w:r w:rsidRPr="0057633F">
        <w:t>La dimensione, la forma e la densità delle particelle di aerosol influenzano collettivamente la torbidità, che influenza il comportamento della luce che attraversa l'atmosfera. Sebbene l'intensità della luce sparsa aumenta generalmente aumentando la torbidità atmosferica, tale maggiore profondità ottica aerosol (AOD) provoca anche un decadimento più rapido dell'intensità del fascio luminoso emesso. La dispersione e l'estinzione funzionano in direzioni opposte, complicando l'effetto degli aerosol sul bagliore del cielo. Inoltre, le proprietà ottiche dello strato aerosol dipende dal tipo e dalle dimensioni delle particelle. La fuliggine nera nell'aria, per esempio, assorbe gran parte di ogni luce incidente e crea quindi un baglior</w:t>
      </w:r>
      <w:r w:rsidR="0057633F" w:rsidRPr="0057633F">
        <w:t>e più scuro, mentre gli aerosol</w:t>
      </w:r>
      <w:r w:rsidRPr="0057633F">
        <w:t xml:space="preserve"> salati trovati nelle regioni costiere tendono ad essere riflettenti diffusi, rendendo il cielo più luminoso e riducendo il contrasto delle stelle.</w:t>
      </w:r>
    </w:p>
    <w:p w:rsidR="00406793" w:rsidRPr="0057633F" w:rsidRDefault="00406793" w:rsidP="00D70825"/>
    <w:p w:rsidR="00406793" w:rsidRPr="0057633F" w:rsidRDefault="004E4AC9" w:rsidP="00D70825">
      <w:r w:rsidRPr="0057633F">
        <w:t>La figura 11 illustra l'impatto significativo sul bagl</w:t>
      </w:r>
      <w:r w:rsidR="0057633F" w:rsidRPr="0057633F">
        <w:t>iore di cielo da atmosfere dense</w:t>
      </w:r>
      <w:r w:rsidRPr="0057633F">
        <w:t>, molto turbide con molteplici particelle di particelle aerosoliche (ATM3-4) o con copertura nuvolosa completa (ATM5). I cieli più chiari con il dosaggio aerosol più leggero (ATM2) mostrano quasi nessuno degli stessi effetti, essendo più raggruppati attorno al valore di base (ATM1 - assegnato il valore relativo di 1,0 nei grafici).</w:t>
      </w:r>
    </w:p>
    <w:p w:rsidR="00406793" w:rsidRDefault="00406793" w:rsidP="00D70825"/>
    <w:p w:rsidR="00406793" w:rsidRDefault="00406793" w:rsidP="00D70825"/>
    <w:p w:rsidR="00406793" w:rsidRDefault="00406793" w:rsidP="00D70825"/>
    <w:p w:rsidR="00406793" w:rsidRDefault="00406793" w:rsidP="00D70825"/>
    <w:p w:rsidR="00406793" w:rsidRDefault="00406793" w:rsidP="00D70825"/>
    <w:p w:rsidR="00406793" w:rsidRDefault="00406793" w:rsidP="00D70825">
      <w:pPr>
        <w:pBdr>
          <w:bottom w:val="single" w:sz="6" w:space="1" w:color="auto"/>
        </w:pBdr>
      </w:pPr>
    </w:p>
    <w:p w:rsidR="004E4AC9" w:rsidRDefault="004E4AC9" w:rsidP="00D70825">
      <w:r w:rsidRPr="004E4AC9">
        <w:t>33 Rete Robotica Aerosol (AERONET): https://aeronet.gsfc.nasa.gov/.</w:t>
      </w:r>
    </w:p>
    <w:p w:rsidR="0057633F" w:rsidRDefault="0057633F"/>
    <w:p w:rsidR="0057633F" w:rsidRDefault="0057633F" w:rsidP="0057633F">
      <w:pPr>
        <w:jc w:val="center"/>
      </w:pPr>
      <w:r>
        <w:br w:type="page"/>
      </w:r>
    </w:p>
    <w:p w:rsidR="0057633F" w:rsidRDefault="0057633F"/>
    <w:p w:rsidR="0057633F" w:rsidRDefault="0057633F">
      <w:r w:rsidRPr="0057633F">
        <w:rPr>
          <w:noProof/>
          <w:lang w:eastAsia="it-IT"/>
        </w:rPr>
        <w:drawing>
          <wp:inline distT="0" distB="0" distL="0" distR="0">
            <wp:extent cx="6192520" cy="473202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92520" cy="4732020"/>
                    </a:xfrm>
                    <a:prstGeom prst="rect">
                      <a:avLst/>
                    </a:prstGeom>
                    <a:noFill/>
                    <a:ln>
                      <a:noFill/>
                    </a:ln>
                  </pic:spPr>
                </pic:pic>
              </a:graphicData>
            </a:graphic>
          </wp:inline>
        </w:drawing>
      </w:r>
    </w:p>
    <w:p w:rsidR="0057633F" w:rsidRDefault="0057633F" w:rsidP="0057633F">
      <w:r w:rsidRPr="0057633F">
        <w:rPr>
          <w:i/>
          <w:sz w:val="20"/>
          <w:szCs w:val="20"/>
        </w:rPr>
        <w:t>Figura 11 Impatti relativi delle condizioni atmosferiche per le posizioni di osservatore vicine e distanti. Gli effetti relativi (nota alle diverse scale) di determinate condizioni atmosferiche (ATM2, ATM4 e ATM5) rispetto a ATM1 (indicato come linea rossa) sono rappresentate per ciascuna città e cinque SPD selezionati in base alla loro percentuale di uplight (0%, 2</w:t>
      </w:r>
      <w:proofErr w:type="gramStart"/>
      <w:r w:rsidRPr="0057633F">
        <w:rPr>
          <w:i/>
          <w:sz w:val="20"/>
          <w:szCs w:val="20"/>
        </w:rPr>
        <w:t>% ,</w:t>
      </w:r>
      <w:proofErr w:type="gramEnd"/>
      <w:r w:rsidRPr="0057633F">
        <w:rPr>
          <w:i/>
          <w:sz w:val="20"/>
          <w:szCs w:val="20"/>
        </w:rPr>
        <w:t xml:space="preserve"> 10%). Vengono rappresentati solo i risultati ponderati in modo scotopico. Il grafico a sinistra, per il vicino osservatore, mostra il significativo aumento del chiarore del cielo dovuto alle nuvole, tra cui l'aumento del chiarore del cielo che proviene da una diminuzione della luce, indicata dalla direzione delle frecce (solo per la condizione nuvolosa). Il grafico a destra, per l'osservatore lontano, mostra l'influenza di atmosfere più turbolenti e nuvolose in una diminuzione del chiarore del cielo. A differenza del grafico per l'osservatore vicino, con la diminuzione della percentuale di luce verso l’alto, diminuisce il chiarore del cielo, indicato anche dalle frecce. (Per una versione completa del grafico, vedere l'Appendice B.)</w:t>
      </w:r>
      <w:r w:rsidRPr="0057633F">
        <w:br/>
      </w:r>
    </w:p>
    <w:p w:rsidR="0057633F" w:rsidRDefault="0057633F" w:rsidP="0057633F">
      <w:r w:rsidRPr="0057633F">
        <w:t>L'atmosfera in</w:t>
      </w:r>
      <w:r>
        <w:t>fluisce anche sull'impatto delle luci verso l’alto emesse dai lampioni</w:t>
      </w:r>
      <w:r w:rsidRPr="0057633F">
        <w:t xml:space="preserve">. Per un osservatore vicino in condizioni chiare, l'aumento dell'illuminazione aumenta leggermente il </w:t>
      </w:r>
      <w:r>
        <w:t>chiarore</w:t>
      </w:r>
      <w:r w:rsidRPr="0057633F">
        <w:t xml:space="preserve"> del cielo a causa dell'aumento di spargimento associato, ma in condizioni di nuvolosità, una maggiore </w:t>
      </w:r>
      <w:r w:rsidR="003B1ACB">
        <w:t>luce verso l’alto</w:t>
      </w:r>
      <w:r w:rsidRPr="0057633F">
        <w:t xml:space="preserve"> riduce effettivamente il </w:t>
      </w:r>
      <w:r w:rsidR="003B1ACB">
        <w:t>chiarore</w:t>
      </w:r>
      <w:r w:rsidRPr="0057633F">
        <w:t xml:space="preserve"> del cielo visibile. Questa contraddizione si verifica per due ragioni: in condizioni di nuvolosità, la porzione </w:t>
      </w:r>
      <w:r w:rsidR="003B1ACB">
        <w:t>diretta verso il basso</w:t>
      </w:r>
      <w:r w:rsidRPr="0057633F">
        <w:t xml:space="preserve"> della luce dall'apparecchio ritorna più volte tra il terreno e le nuvole sovrapposte, intrappolandola e dissipandola</w:t>
      </w:r>
      <w:r w:rsidR="003B1ACB" w:rsidRPr="003B1ACB">
        <w:t xml:space="preserve"> </w:t>
      </w:r>
      <w:r w:rsidR="003B1ACB" w:rsidRPr="0057633F">
        <w:t>efficacemente</w:t>
      </w:r>
      <w:r w:rsidRPr="0057633F">
        <w:t>;</w:t>
      </w:r>
      <w:r w:rsidR="003B1ACB">
        <w:t xml:space="preserve"> inoltre, la maggior parte</w:t>
      </w:r>
      <w:r w:rsidRPr="0057633F">
        <w:t xml:space="preserve"> </w:t>
      </w:r>
      <w:r w:rsidR="003B1ACB">
        <w:t>dell’incremento delle luci dirette verso l’alto</w:t>
      </w:r>
      <w:r w:rsidRPr="0057633F">
        <w:t xml:space="preserve"> viene emesso a bassi angoli di elevazione e subisce una lunga traiettoria prima di raggiungere la base di nubi e quindi non raggiunge l'osservatore vicino.</w:t>
      </w:r>
    </w:p>
    <w:p w:rsidR="0057633F" w:rsidRDefault="0057633F" w:rsidP="0057633F"/>
    <w:p w:rsidR="0057633F" w:rsidRDefault="0057633F" w:rsidP="0057633F">
      <w:r w:rsidRPr="0057633F">
        <w:t xml:space="preserve">Per l'osservatore vicino, la luminosità dell'ambiente notturno aumenta notevolmente in condizioni di </w:t>
      </w:r>
      <w:r w:rsidR="003B1ACB">
        <w:t xml:space="preserve">cielo </w:t>
      </w:r>
      <w:r w:rsidRPr="0057633F">
        <w:t xml:space="preserve">nuvoloso, aumentando di più quando gli </w:t>
      </w:r>
      <w:r w:rsidR="003B1ACB">
        <w:t>impianti</w:t>
      </w:r>
      <w:r w:rsidRPr="0057633F">
        <w:t xml:space="preserve"> di illuminazione dirigono la loro </w:t>
      </w:r>
      <w:r w:rsidR="003B1ACB">
        <w:t>luce</w:t>
      </w:r>
      <w:r w:rsidRPr="0057633F">
        <w:t xml:space="preserve"> verso il basso (cioè, non hanno </w:t>
      </w:r>
      <w:r w:rsidR="003B1ACB">
        <w:t>luci dirette verso l’alto</w:t>
      </w:r>
      <w:r w:rsidRPr="0057633F">
        <w:t xml:space="preserve">). Per un osservatore al di fuori della città, tuttavia, la luminosità dell'ambiente notturno diminuisce quando la torbidità </w:t>
      </w:r>
      <w:r w:rsidR="003B1ACB">
        <w:t xml:space="preserve">del cielo </w:t>
      </w:r>
      <w:r w:rsidRPr="0057633F">
        <w:t>e l</w:t>
      </w:r>
      <w:r w:rsidR="003B1ACB">
        <w:t>e nuvole aumentano. Diminuire le luci</w:t>
      </w:r>
      <w:r w:rsidRPr="0057633F">
        <w:t xml:space="preserve"> </w:t>
      </w:r>
      <w:r w:rsidR="003B1ACB">
        <w:t>verso l’alto</w:t>
      </w:r>
      <w:r w:rsidRPr="0057633F">
        <w:t xml:space="preserve"> riduce il </w:t>
      </w:r>
      <w:r w:rsidR="003B1ACB">
        <w:t>chiarore</w:t>
      </w:r>
      <w:r w:rsidRPr="0057633F">
        <w:t xml:space="preserve"> del cielo per l'osservatore lontano in tutte le condizioni atmosferiche.</w:t>
      </w:r>
    </w:p>
    <w:p w:rsidR="0057633F" w:rsidRDefault="0057633F"/>
    <w:p w:rsidR="0057633F" w:rsidRDefault="0057633F"/>
    <w:p w:rsidR="004E4AC9" w:rsidRDefault="004E4AC9">
      <w:r>
        <w:br w:type="page"/>
      </w:r>
    </w:p>
    <w:p w:rsidR="004E4AC9" w:rsidRDefault="004E4AC9" w:rsidP="00D70825"/>
    <w:p w:rsidR="004E0351" w:rsidRDefault="004E0351" w:rsidP="004E0351">
      <w:pPr>
        <w:pStyle w:val="Titolo2"/>
      </w:pPr>
      <w:r w:rsidRPr="004E0351">
        <w:t>5.3 Caratteristiche della città</w:t>
      </w:r>
    </w:p>
    <w:p w:rsidR="004E0351" w:rsidRDefault="004E0351" w:rsidP="004E0351">
      <w:r>
        <w:t>I t</w:t>
      </w:r>
      <w:r w:rsidRPr="004E0351">
        <w:t>re principali driver della luce del cielo sono legati alle caratteristiche della città: l'area della città, la potenza totale della luce e la gamma di angoli di emissione della luce che interessano altre aree della città. In generale, più grande è la città, più è complicata la propagazione della luce e la dispersione associata nell'atmosfera e maggiore è la propensione alla luce del lato opposto della città (rispetto all'osservatore) di propagarsi a bassi angoli di elevazione e lungo percorsi ottici più lunghi. Gli osservatori distanti ricevono una collezione di luce da diverse angolazioni, a seconda della loro distanza rispetto alle dimensioni della città.</w:t>
      </w:r>
    </w:p>
    <w:p w:rsidR="004E0351" w:rsidRDefault="004E0351" w:rsidP="004E0351"/>
    <w:p w:rsidR="004E0351" w:rsidRDefault="004E0351" w:rsidP="004E0351">
      <w:pPr>
        <w:pStyle w:val="Titolo2"/>
      </w:pPr>
      <w:r w:rsidRPr="004E0351">
        <w:t>5.4 Luci di via: uscita luminosa, percentuale di uplight, SPD</w:t>
      </w:r>
    </w:p>
    <w:p w:rsidR="004E0351" w:rsidRDefault="004E0351" w:rsidP="004E0351">
      <w:pPr>
        <w:pStyle w:val="Titolo3"/>
        <w:numPr>
          <w:ilvl w:val="0"/>
          <w:numId w:val="0"/>
        </w:numPr>
        <w:ind w:left="720"/>
      </w:pPr>
      <w:r w:rsidRPr="004E0351">
        <w:t>5.4.1 Uscita luminosa</w:t>
      </w:r>
    </w:p>
    <w:p w:rsidR="006D43F6" w:rsidRDefault="004E0351" w:rsidP="00D70825">
      <w:r w:rsidRPr="004E0351">
        <w:t>Questo studio ha confrontato gli effetti della produzione di luce utilizzando due livelli di uscita, uno due volte il valore dell'altro. Poiché i valori di tutte le altre variabili d'ingresso sono stati modificati nei calcoli del cielo, la relazione tra l'uscita luminosa e la luce del cielo è rimasta lineare, in modo tale che ogni volta che i livelli di illuminazione s</w:t>
      </w:r>
      <w:r w:rsidR="006D43F6">
        <w:t>tradale sono raddoppiati</w:t>
      </w:r>
      <w:r w:rsidRPr="004E0351">
        <w:t>. Viceversa, riducendo la produzione di luce riduce la luminosità del cielo proporzionalmente.</w:t>
      </w:r>
    </w:p>
    <w:p w:rsidR="006D43F6" w:rsidRDefault="004E0351" w:rsidP="006D43F6">
      <w:pPr>
        <w:pStyle w:val="Titolo3"/>
      </w:pPr>
      <w:r w:rsidRPr="004E0351">
        <w:t>5.4.2 Percentuale di uplight</w:t>
      </w:r>
    </w:p>
    <w:p w:rsidR="006D43F6" w:rsidRDefault="004E0351" w:rsidP="00D70825">
      <w:r w:rsidRPr="004E0351">
        <w:t xml:space="preserve">La </w:t>
      </w:r>
      <w:r w:rsidR="006D43F6">
        <w:t xml:space="preserve">frazione </w:t>
      </w:r>
      <w:r w:rsidRPr="004E0351">
        <w:t xml:space="preserve">percentuale di </w:t>
      </w:r>
      <w:r w:rsidR="006D43F6">
        <w:t>luce verso l’alto</w:t>
      </w:r>
      <w:r w:rsidR="006D43F6" w:rsidRPr="004E0351">
        <w:t xml:space="preserve"> </w:t>
      </w:r>
      <w:r w:rsidRPr="004E0351">
        <w:t>è stata variata nella modellazione da 0% a 2%, 5% e 10%. Al</w:t>
      </w:r>
      <w:r w:rsidR="006D43F6">
        <w:t>lo</w:t>
      </w:r>
      <w:r w:rsidRPr="004E0351">
        <w:t xml:space="preserve"> 0% </w:t>
      </w:r>
      <w:r w:rsidR="006D43F6">
        <w:t>di luce verso l’alto</w:t>
      </w:r>
      <w:r w:rsidRPr="004E0351">
        <w:t>, tutta la luce nel cielo è dovuta alla riflessione a terra e viene distribuita in base alla sua funzione di riflessione coseno riflettente. Gli altri valori creano un coseno ibrido e un modello di emissione a basso angolo (vedere la Figura 10).</w:t>
      </w:r>
    </w:p>
    <w:p w:rsidR="006D43F6" w:rsidRDefault="006D43F6" w:rsidP="00D70825"/>
    <w:p w:rsidR="006D43F6" w:rsidRDefault="004E0351" w:rsidP="00D70825">
      <w:r w:rsidRPr="004E0351">
        <w:t xml:space="preserve">La Figura 12 illustra gli impatti modellati di </w:t>
      </w:r>
      <w:r w:rsidR="006D43F6">
        <w:t>luce verso l’alto in</w:t>
      </w:r>
      <w:r w:rsidRPr="004E0351">
        <w:t xml:space="preserve"> percentuale. Da sinistra a destra, ogni bar</w:t>
      </w:r>
      <w:r w:rsidR="006D43F6">
        <w:t>ra</w:t>
      </w:r>
      <w:r w:rsidRPr="004E0351">
        <w:t xml:space="preserve"> mostra il minimo, il primo quartile, il mediano, il terzo quartile e</w:t>
      </w:r>
      <w:r w:rsidR="006D43F6">
        <w:t xml:space="preserve"> </w:t>
      </w:r>
      <w:r w:rsidRPr="004E0351">
        <w:t xml:space="preserve">i valori massimi per tutte le combinazioni di variabili modellate, con le aree colorate che rappresentano i dati tra i primi e i tre quartili. Questi sono mostrati rispetto ad una linea di base (rappresentata dalla linea rossa al valore 1.0) per ogni confronto di condizioni identiche, variabili solo il 2%, il 5% o il 10% di variabile uplight. I grafici mostrano che la riduzione dell'illuminazione </w:t>
      </w:r>
      <w:r w:rsidR="006D43F6">
        <w:t xml:space="preserve">verso l’alto </w:t>
      </w:r>
      <w:r w:rsidRPr="004E0351">
        <w:t xml:space="preserve">diminuisce il </w:t>
      </w:r>
      <w:r w:rsidR="006D43F6">
        <w:t>chiarore</w:t>
      </w:r>
      <w:r w:rsidRPr="004E0351">
        <w:t xml:space="preserve"> del cielo in tutte le condizioni, ad eccezione del vicino osservatore sotto i cieli nuvolosi. Ridurre la percentuale di </w:t>
      </w:r>
      <w:r w:rsidR="006D43F6">
        <w:t>luce verso l’alto</w:t>
      </w:r>
      <w:r w:rsidRPr="004E0351">
        <w:t xml:space="preserve"> aumenta in modo contrastante la luminosità del cielo sotto la condizione nuvolosa quando l'osservatore è all'interno della città. (Vedere la discussione sull'atmosfera nel capitolo 5.2).</w:t>
      </w:r>
    </w:p>
    <w:p w:rsidR="006D43F6" w:rsidRDefault="006D43F6" w:rsidP="00D70825"/>
    <w:p w:rsidR="004E4AC9" w:rsidRDefault="004E0351" w:rsidP="00D70825">
      <w:pPr>
        <w:rPr>
          <w:i/>
        </w:rPr>
      </w:pPr>
      <w:r w:rsidRPr="004E0351">
        <w:t xml:space="preserve">La riduzione del bagliore del cielo risultante dall'eliminazione della luce solare è particolarmente pronunciata per l'osservatore lontano. Indicato nella sinistra a sinistra dei grafici inferiori, l'illuminazione del cielo per l'osservatore lontano è stata ridotta di almeno il 95% rispetto allo stato di base del 2% di uplight. Supponendo che non siano presenti ostacoli a causa di edifici, alberi, terreni o altri fattori che modificano i risultati di base per il confronto, </w:t>
      </w:r>
      <w:r w:rsidRPr="006D43F6">
        <w:rPr>
          <w:i/>
        </w:rPr>
        <w:t xml:space="preserve">l'eliminazione della </w:t>
      </w:r>
      <w:r w:rsidR="006D43F6" w:rsidRPr="006D43F6">
        <w:rPr>
          <w:i/>
        </w:rPr>
        <w:t>luce diretta verso l’alto</w:t>
      </w:r>
      <w:r w:rsidRPr="006D43F6">
        <w:rPr>
          <w:i/>
        </w:rPr>
        <w:t xml:space="preserve"> è di gran lunga l'influenza singola più grande di qualsiasi variabile per ridurre il bagliore del cielo per gli osservatori lontani.</w:t>
      </w:r>
    </w:p>
    <w:p w:rsidR="002F189B" w:rsidRDefault="002F189B" w:rsidP="00D70825">
      <w:pPr>
        <w:rPr>
          <w:i/>
        </w:rPr>
      </w:pPr>
    </w:p>
    <w:p w:rsidR="002F189B" w:rsidRDefault="002F189B" w:rsidP="00D70825">
      <w:pPr>
        <w:rPr>
          <w:i/>
        </w:rPr>
      </w:pPr>
    </w:p>
    <w:p w:rsidR="002F189B" w:rsidRDefault="002F189B">
      <w:pPr>
        <w:rPr>
          <w:i/>
        </w:rPr>
      </w:pPr>
      <w:r>
        <w:rPr>
          <w:i/>
        </w:rPr>
        <w:br w:type="page"/>
      </w:r>
    </w:p>
    <w:p w:rsidR="002F189B" w:rsidRDefault="002F189B" w:rsidP="00D70825"/>
    <w:p w:rsidR="002F189B" w:rsidRDefault="002F189B" w:rsidP="002F189B">
      <w:pPr>
        <w:jc w:val="center"/>
      </w:pPr>
      <w:r w:rsidRPr="002F189B">
        <w:rPr>
          <w:noProof/>
          <w:lang w:eastAsia="it-IT"/>
        </w:rPr>
        <w:drawing>
          <wp:inline distT="0" distB="0" distL="0" distR="0">
            <wp:extent cx="5709285" cy="4178300"/>
            <wp:effectExtent l="0" t="0" r="571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9285" cy="4178300"/>
                    </a:xfrm>
                    <a:prstGeom prst="rect">
                      <a:avLst/>
                    </a:prstGeom>
                    <a:noFill/>
                    <a:ln>
                      <a:noFill/>
                    </a:ln>
                  </pic:spPr>
                </pic:pic>
              </a:graphicData>
            </a:graphic>
          </wp:inline>
        </w:drawing>
      </w:r>
    </w:p>
    <w:p w:rsidR="002F189B" w:rsidRPr="00C802D7" w:rsidRDefault="00C802D7" w:rsidP="002F189B">
      <w:r w:rsidRPr="00C802D7">
        <w:rPr>
          <w:b/>
          <w:bCs/>
          <w:i/>
          <w:sz w:val="20"/>
          <w:szCs w:val="20"/>
        </w:rPr>
        <w:t xml:space="preserve">Figura 12 Impatto della riduzione della percentuale di spostamento in quota sotto cielo nuvoloso e condizioni nuvolose. </w:t>
      </w:r>
      <w:r w:rsidRPr="00C802D7">
        <w:rPr>
          <w:bCs/>
          <w:i/>
          <w:sz w:val="20"/>
          <w:szCs w:val="20"/>
        </w:rPr>
        <w:t xml:space="preserve">Il grafico </w:t>
      </w:r>
      <w:r>
        <w:rPr>
          <w:bCs/>
          <w:i/>
          <w:sz w:val="20"/>
          <w:szCs w:val="20"/>
        </w:rPr>
        <w:t>in alto</w:t>
      </w:r>
      <w:r w:rsidRPr="00C802D7">
        <w:rPr>
          <w:bCs/>
          <w:i/>
          <w:sz w:val="20"/>
          <w:szCs w:val="20"/>
        </w:rPr>
        <w:t xml:space="preserve"> è per le condizioni di </w:t>
      </w:r>
      <w:r>
        <w:rPr>
          <w:bCs/>
          <w:i/>
          <w:sz w:val="20"/>
          <w:szCs w:val="20"/>
        </w:rPr>
        <w:t>sereno</w:t>
      </w:r>
      <w:r w:rsidRPr="00C802D7">
        <w:rPr>
          <w:bCs/>
          <w:i/>
          <w:sz w:val="20"/>
          <w:szCs w:val="20"/>
        </w:rPr>
        <w:t xml:space="preserve"> (ATM1-4), mentre </w:t>
      </w:r>
      <w:r>
        <w:rPr>
          <w:bCs/>
          <w:i/>
          <w:sz w:val="20"/>
          <w:szCs w:val="20"/>
        </w:rPr>
        <w:t>l’ultimo</w:t>
      </w:r>
      <w:r w:rsidRPr="00C802D7">
        <w:rPr>
          <w:bCs/>
          <w:i/>
          <w:sz w:val="20"/>
          <w:szCs w:val="20"/>
        </w:rPr>
        <w:t xml:space="preserve"> è per la condizione </w:t>
      </w:r>
      <w:r>
        <w:rPr>
          <w:bCs/>
          <w:i/>
          <w:sz w:val="20"/>
          <w:szCs w:val="20"/>
        </w:rPr>
        <w:t>di nuvoloso</w:t>
      </w:r>
      <w:r w:rsidRPr="00C802D7">
        <w:rPr>
          <w:bCs/>
          <w:i/>
          <w:sz w:val="20"/>
          <w:szCs w:val="20"/>
        </w:rPr>
        <w:t xml:space="preserve"> (ATM5). Le barre blu sono per la posizione dell'osservatore vicino, mentre l'arancio giallo è per la posizione distante dell'osservatore. Le barre solide mostrano l'impatto del cambiamento dal 2% al 0% di uplight, le barre tratteggiate verticalmente mostrano l'impatto d</w:t>
      </w:r>
      <w:r>
        <w:rPr>
          <w:bCs/>
          <w:i/>
          <w:sz w:val="20"/>
          <w:szCs w:val="20"/>
        </w:rPr>
        <w:t>ellavariazione</w:t>
      </w:r>
      <w:r w:rsidRPr="00C802D7">
        <w:rPr>
          <w:bCs/>
          <w:i/>
          <w:sz w:val="20"/>
          <w:szCs w:val="20"/>
        </w:rPr>
        <w:t xml:space="preserve"> dal 5% al 0% </w:t>
      </w:r>
      <w:r>
        <w:rPr>
          <w:bCs/>
          <w:i/>
          <w:sz w:val="20"/>
          <w:szCs w:val="20"/>
        </w:rPr>
        <w:t>di luce verso l’alto</w:t>
      </w:r>
      <w:r w:rsidRPr="00C802D7">
        <w:rPr>
          <w:bCs/>
          <w:i/>
          <w:sz w:val="20"/>
          <w:szCs w:val="20"/>
        </w:rPr>
        <w:t xml:space="preserve">, e le barre incise diagonalmente mostrano l'impatto dal 10% al 0% </w:t>
      </w:r>
      <w:r>
        <w:rPr>
          <w:bCs/>
          <w:i/>
          <w:sz w:val="20"/>
          <w:szCs w:val="20"/>
        </w:rPr>
        <w:t>di luce verso l’alto</w:t>
      </w:r>
      <w:r w:rsidRPr="00C802D7">
        <w:rPr>
          <w:bCs/>
          <w:i/>
          <w:sz w:val="20"/>
          <w:szCs w:val="20"/>
        </w:rPr>
        <w:t>. Pertanto, un valore di 0,5 indica che riducendo l'uplight fino allo 0% rispetto alla corrispondente linea di base, si ottengono</w:t>
      </w:r>
      <w:r w:rsidR="00955F13">
        <w:rPr>
          <w:bCs/>
          <w:i/>
          <w:sz w:val="20"/>
          <w:szCs w:val="20"/>
        </w:rPr>
        <w:t xml:space="preserve"> una diminuzione</w:t>
      </w:r>
      <w:r w:rsidRPr="00C802D7">
        <w:rPr>
          <w:bCs/>
          <w:i/>
          <w:sz w:val="20"/>
          <w:szCs w:val="20"/>
        </w:rPr>
        <w:t xml:space="preserve"> </w:t>
      </w:r>
      <w:r w:rsidR="00955F13">
        <w:rPr>
          <w:bCs/>
          <w:i/>
          <w:sz w:val="20"/>
          <w:szCs w:val="20"/>
        </w:rPr>
        <w:t>di 0,5 volte de</w:t>
      </w:r>
      <w:r w:rsidRPr="00C802D7">
        <w:rPr>
          <w:bCs/>
          <w:i/>
          <w:sz w:val="20"/>
          <w:szCs w:val="20"/>
        </w:rPr>
        <w:t xml:space="preserve">l </w:t>
      </w:r>
      <w:r w:rsidR="00955F13">
        <w:rPr>
          <w:bCs/>
          <w:i/>
          <w:sz w:val="20"/>
          <w:szCs w:val="20"/>
        </w:rPr>
        <w:t>chiarore</w:t>
      </w:r>
      <w:r w:rsidRPr="00C802D7">
        <w:rPr>
          <w:bCs/>
          <w:i/>
          <w:sz w:val="20"/>
          <w:szCs w:val="20"/>
        </w:rPr>
        <w:t xml:space="preserve"> del cielo.</w:t>
      </w:r>
    </w:p>
    <w:p w:rsidR="002F189B" w:rsidRDefault="002F189B" w:rsidP="002F189B">
      <w:pPr>
        <w:rPr>
          <w:bCs/>
        </w:rPr>
      </w:pPr>
    </w:p>
    <w:p w:rsidR="00955F13" w:rsidRPr="00955F13" w:rsidRDefault="00955F13" w:rsidP="00955F13">
      <w:pPr>
        <w:pStyle w:val="Titolo3"/>
        <w:numPr>
          <w:ilvl w:val="0"/>
          <w:numId w:val="0"/>
        </w:numPr>
        <w:ind w:left="720"/>
      </w:pPr>
      <w:r w:rsidRPr="00955F13">
        <w:t>5.4.3 Spectral power distribution</w:t>
      </w:r>
    </w:p>
    <w:p w:rsidR="00C802D7" w:rsidRPr="00C802D7" w:rsidRDefault="00955F13" w:rsidP="002F189B">
      <w:r w:rsidRPr="00955F13">
        <w:t>La Tabella 4 mostra la gamma degli impatti di SPD rispetto all'HPS, per tutte le città e tutte le condizioni atmosferiche. La tabella identifica gli SPD per numero, con i corrispondenti v</w:t>
      </w:r>
      <w:r>
        <w:t>alori CCT e relativi rapporti S</w:t>
      </w:r>
      <w:r w:rsidRPr="00955F13">
        <w:t xml:space="preserve">/P nella Tabella 2. La Figura 13 mostra gli SPD effettivi. Secondo i valori mediani mostrati in grassetto, tutti gli SPD aumentano il </w:t>
      </w:r>
      <w:r>
        <w:t>chiarore</w:t>
      </w:r>
      <w:r w:rsidRPr="00955F13">
        <w:t xml:space="preserve"> del cielo rispetto a HPS ad eccezione di LPS e PC Amber LED e la ponderazione scotopica sottolinea ulteriormente questi impatti. Questi risultati sono dovuti all'aumentato dispersione delle lunghezze d'onda brevi e molto brevi per i risultati non ponderati. L'impatto più pronunciato della dispersione di lunghezza d'onda corta nei risultati ponderati in modo scotopico è dovuto all'aumentata sensibilità dell'occhio umano alle lunghezze d'onda vicino al picco della curva di sensibilità scotopica (507 nm). Si noti che gli impatti riportati sono guidati dalla specifica SPD di ciascun prodotto rispettivo. Mentre i valori di </w:t>
      </w:r>
      <w:r>
        <w:t>chiarore</w:t>
      </w:r>
      <w:r w:rsidRPr="00955F13">
        <w:t xml:space="preserve"> del cielo non ponderati aumentano per tutte le sorgenti luminose con contenuti superiori di lunghezze d'onda molto brevi (cioè violetta), l'influenza associata di lunghezze d'onda molto brevi termina quando è scotopicamente ponderata perché l'occhio umano è meno sensibile alle lunghezze d'onda inferiori a circa 420 nm.</w:t>
      </w:r>
    </w:p>
    <w:p w:rsidR="002F189B" w:rsidRDefault="002F189B" w:rsidP="00D70825"/>
    <w:p w:rsidR="00955F13" w:rsidRDefault="00955F13">
      <w:r>
        <w:br w:type="page"/>
      </w:r>
    </w:p>
    <w:p w:rsidR="002F189B" w:rsidRDefault="002F189B" w:rsidP="00D70825"/>
    <w:p w:rsidR="00955F13" w:rsidRPr="007503FB" w:rsidRDefault="007503FB" w:rsidP="00D70825">
      <w:pPr>
        <w:rPr>
          <w:bCs/>
        </w:rPr>
      </w:pPr>
      <w:r w:rsidRPr="007503FB">
        <w:rPr>
          <w:b/>
          <w:bCs/>
        </w:rPr>
        <w:t xml:space="preserve">Tabella 4 Impatto relativo di SPD sul bagliore del cielo rispetto a HPS per risultati non ponderati e </w:t>
      </w:r>
      <w:r>
        <w:rPr>
          <w:b/>
          <w:bCs/>
        </w:rPr>
        <w:t>pesati scotopicamente</w:t>
      </w:r>
      <w:r w:rsidRPr="007503FB">
        <w:rPr>
          <w:b/>
          <w:bCs/>
        </w:rPr>
        <w:t xml:space="preserve">, tra le due posizioni dell'osservatore. </w:t>
      </w:r>
      <w:r w:rsidRPr="007503FB">
        <w:rPr>
          <w:bCs/>
        </w:rPr>
        <w:t>HPS (SPD2) è rappresentato dal valore di 1. Le celle evidenziate in giallo sono vicine a 1 in valore; i valori che diminuiscono da 1 diventano più verdognoli mentre quelli che aumentano da quelli diventano più rossastri.</w:t>
      </w:r>
    </w:p>
    <w:p w:rsidR="007503FB" w:rsidRDefault="007503FB" w:rsidP="00D70825"/>
    <w:p w:rsidR="007503FB" w:rsidRDefault="007503FB" w:rsidP="007503FB">
      <w:pPr>
        <w:jc w:val="center"/>
      </w:pPr>
      <w:r w:rsidRPr="007503FB">
        <w:rPr>
          <w:noProof/>
          <w:lang w:eastAsia="it-IT"/>
        </w:rPr>
        <w:drawing>
          <wp:inline distT="0" distB="0" distL="0" distR="0">
            <wp:extent cx="6840220" cy="2468669"/>
            <wp:effectExtent l="0" t="0" r="0" b="825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40220" cy="2468669"/>
                    </a:xfrm>
                    <a:prstGeom prst="rect">
                      <a:avLst/>
                    </a:prstGeom>
                    <a:noFill/>
                    <a:ln>
                      <a:noFill/>
                    </a:ln>
                  </pic:spPr>
                </pic:pic>
              </a:graphicData>
            </a:graphic>
          </wp:inline>
        </w:drawing>
      </w:r>
    </w:p>
    <w:p w:rsidR="007503FB" w:rsidRDefault="007503FB" w:rsidP="00D70825"/>
    <w:tbl>
      <w:tblPr>
        <w:tblW w:w="0" w:type="auto"/>
        <w:jc w:val="center"/>
        <w:tblBorders>
          <w:top w:val="nil"/>
          <w:left w:val="nil"/>
          <w:bottom w:val="nil"/>
          <w:right w:val="nil"/>
        </w:tblBorders>
        <w:tblLayout w:type="fixed"/>
        <w:tblLook w:val="0000" w:firstRow="0" w:lastRow="0" w:firstColumn="0" w:lastColumn="0" w:noHBand="0" w:noVBand="0"/>
      </w:tblPr>
      <w:tblGrid>
        <w:gridCol w:w="751"/>
        <w:gridCol w:w="63"/>
        <w:gridCol w:w="688"/>
        <w:gridCol w:w="126"/>
        <w:gridCol w:w="625"/>
        <w:gridCol w:w="189"/>
        <w:gridCol w:w="562"/>
        <w:gridCol w:w="252"/>
        <w:gridCol w:w="499"/>
        <w:gridCol w:w="315"/>
        <w:gridCol w:w="436"/>
        <w:gridCol w:w="379"/>
        <w:gridCol w:w="372"/>
        <w:gridCol w:w="442"/>
        <w:gridCol w:w="309"/>
        <w:gridCol w:w="505"/>
        <w:gridCol w:w="246"/>
        <w:gridCol w:w="568"/>
        <w:gridCol w:w="183"/>
        <w:gridCol w:w="631"/>
        <w:gridCol w:w="120"/>
        <w:gridCol w:w="694"/>
        <w:gridCol w:w="57"/>
        <w:gridCol w:w="751"/>
        <w:gridCol w:w="7"/>
      </w:tblGrid>
      <w:tr w:rsidR="007503FB" w:rsidRPr="007503FB" w:rsidTr="00F05FF6">
        <w:trPr>
          <w:trHeight w:val="152"/>
          <w:jc w:val="center"/>
        </w:trPr>
        <w:tc>
          <w:tcPr>
            <w:tcW w:w="4885" w:type="dxa"/>
            <w:gridSpan w:val="1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Unweighted Results </w:t>
            </w:r>
          </w:p>
        </w:tc>
        <w:tc>
          <w:tcPr>
            <w:tcW w:w="4885" w:type="dxa"/>
            <w:gridSpan w:val="13"/>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Scotopically-Weighted Results </w:t>
            </w:r>
          </w:p>
        </w:tc>
      </w:tr>
      <w:tr w:rsidR="007503FB" w:rsidRPr="007503FB" w:rsidTr="00F05FF6">
        <w:trPr>
          <w:trHeight w:val="152"/>
          <w:jc w:val="center"/>
        </w:trPr>
        <w:tc>
          <w:tcPr>
            <w:tcW w:w="2442" w:type="dxa"/>
            <w:gridSpan w:val="6"/>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Near Observer </w:t>
            </w:r>
          </w:p>
        </w:tc>
        <w:tc>
          <w:tcPr>
            <w:tcW w:w="2442" w:type="dxa"/>
            <w:gridSpan w:val="6"/>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Distant Observer </w:t>
            </w:r>
          </w:p>
        </w:tc>
        <w:tc>
          <w:tcPr>
            <w:tcW w:w="2442" w:type="dxa"/>
            <w:gridSpan w:val="6"/>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Near Observer </w:t>
            </w:r>
          </w:p>
        </w:tc>
        <w:tc>
          <w:tcPr>
            <w:tcW w:w="2442" w:type="dxa"/>
            <w:gridSpan w:val="7"/>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Distant Observer </w:t>
            </w:r>
          </w:p>
        </w:tc>
      </w:tr>
      <w:tr w:rsidR="007503FB" w:rsidRPr="007503FB" w:rsidTr="00F05FF6">
        <w:trPr>
          <w:trHeight w:val="152"/>
          <w:jc w:val="center"/>
        </w:trPr>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MIN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MEDIAN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MAX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MIN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MEDIAN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MAX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MIN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MEDIAN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MAX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MIN </w:t>
            </w:r>
          </w:p>
        </w:tc>
        <w:tc>
          <w:tcPr>
            <w:tcW w:w="814" w:type="dxa"/>
            <w:gridSpan w:val="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MEDIAN </w:t>
            </w:r>
          </w:p>
        </w:tc>
        <w:tc>
          <w:tcPr>
            <w:tcW w:w="814" w:type="dxa"/>
            <w:gridSpan w:val="3"/>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MAX </w:t>
            </w:r>
          </w:p>
        </w:tc>
      </w:tr>
      <w:tr w:rsidR="009D6C5D"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SPD1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2.5 </w:t>
            </w:r>
          </w:p>
        </w:tc>
        <w:tc>
          <w:tcPr>
            <w:tcW w:w="751" w:type="dxa"/>
            <w:gridSpan w:val="2"/>
            <w:shd w:val="clear" w:color="auto" w:fill="FF7C8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2.9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2.0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2.4 </w:t>
            </w:r>
          </w:p>
        </w:tc>
        <w:tc>
          <w:tcPr>
            <w:tcW w:w="751" w:type="dxa"/>
            <w:gridSpan w:val="2"/>
            <w:shd w:val="clear" w:color="auto" w:fill="FF7C8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3.4 </w:t>
            </w:r>
          </w:p>
        </w:tc>
        <w:tc>
          <w:tcPr>
            <w:tcW w:w="751" w:type="dxa"/>
            <w:gridSpan w:val="2"/>
            <w:shd w:val="clear" w:color="auto" w:fill="DA0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3.9 </w:t>
            </w:r>
          </w:p>
        </w:tc>
        <w:tc>
          <w:tcPr>
            <w:tcW w:w="751" w:type="dxa"/>
            <w:gridSpan w:val="2"/>
            <w:shd w:val="clear" w:color="auto" w:fill="DA0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4.2 </w:t>
            </w:r>
          </w:p>
        </w:tc>
        <w:tc>
          <w:tcPr>
            <w:tcW w:w="751" w:type="dxa"/>
            <w:gridSpan w:val="2"/>
            <w:shd w:val="clear" w:color="auto" w:fill="FF7C8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3.2 </w:t>
            </w:r>
          </w:p>
        </w:tc>
        <w:tc>
          <w:tcPr>
            <w:tcW w:w="751" w:type="dxa"/>
            <w:gridSpan w:val="2"/>
            <w:shd w:val="clear" w:color="auto" w:fill="ED7D31" w:themeFill="accent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3.6 </w:t>
            </w:r>
          </w:p>
        </w:tc>
        <w:tc>
          <w:tcPr>
            <w:tcW w:w="751" w:type="dxa"/>
            <w:shd w:val="clear" w:color="auto" w:fill="ED7D31" w:themeFill="accent2"/>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3.9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SPD3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0.7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0.7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0.8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0.7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0.7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0.8 </w:t>
            </w:r>
          </w:p>
        </w:tc>
        <w:tc>
          <w:tcPr>
            <w:tcW w:w="751" w:type="dxa"/>
            <w:gridSpan w:val="2"/>
            <w:shd w:val="clear" w:color="auto" w:fill="00B05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0.3 </w:t>
            </w:r>
          </w:p>
        </w:tc>
        <w:tc>
          <w:tcPr>
            <w:tcW w:w="751" w:type="dxa"/>
            <w:gridSpan w:val="2"/>
            <w:shd w:val="clear" w:color="auto" w:fill="00B05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0.3 </w:t>
            </w:r>
          </w:p>
        </w:tc>
        <w:tc>
          <w:tcPr>
            <w:tcW w:w="751" w:type="dxa"/>
            <w:gridSpan w:val="2"/>
            <w:shd w:val="clear" w:color="auto" w:fill="00B05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0.4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0.3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0.4 </w:t>
            </w:r>
          </w:p>
        </w:tc>
        <w:tc>
          <w:tcPr>
            <w:tcW w:w="751" w:type="dxa"/>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0.4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SPD4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1.7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1.1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1.4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1.7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2.1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2.3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2.4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2.0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2.2 </w:t>
            </w:r>
          </w:p>
        </w:tc>
        <w:tc>
          <w:tcPr>
            <w:tcW w:w="751" w:type="dxa"/>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2.3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SPD5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0.9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0.9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0.9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1.1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0.5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0.6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0.7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0.6 </w:t>
            </w:r>
          </w:p>
        </w:tc>
        <w:tc>
          <w:tcPr>
            <w:tcW w:w="751" w:type="dxa"/>
            <w:gridSpan w:val="2"/>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0.6 </w:t>
            </w:r>
          </w:p>
        </w:tc>
        <w:tc>
          <w:tcPr>
            <w:tcW w:w="751" w:type="dxa"/>
            <w:shd w:val="clear" w:color="auto" w:fill="55DE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0.7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SPD6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1.8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1.9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1.9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1.7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1.8 </w:t>
            </w:r>
          </w:p>
        </w:tc>
        <w:tc>
          <w:tcPr>
            <w:tcW w:w="751" w:type="dxa"/>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1.9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SPD7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1.8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1.9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1.9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1.8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1.8 </w:t>
            </w:r>
          </w:p>
        </w:tc>
        <w:tc>
          <w:tcPr>
            <w:tcW w:w="751" w:type="dxa"/>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1.9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SPD8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2.0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2.0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2.1 </w:t>
            </w:r>
          </w:p>
        </w:tc>
        <w:tc>
          <w:tcPr>
            <w:tcW w:w="751" w:type="dxa"/>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2.1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SPD9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1.4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1.5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2.5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2.8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2.9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2.4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2.6 </w:t>
            </w:r>
          </w:p>
        </w:tc>
        <w:tc>
          <w:tcPr>
            <w:tcW w:w="751" w:type="dxa"/>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2.7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1.5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1.0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1.2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1.3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2.7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3.0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3.2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2.6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2.8 </w:t>
            </w:r>
          </w:p>
        </w:tc>
        <w:tc>
          <w:tcPr>
            <w:tcW w:w="751" w:type="dxa"/>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3.0 </w:t>
            </w:r>
          </w:p>
        </w:tc>
      </w:tr>
      <w:tr w:rsidR="00D75835" w:rsidRPr="007503FB" w:rsidTr="00F05FF6">
        <w:trPr>
          <w:gridAfter w:val="1"/>
          <w:wAfter w:w="7" w:type="dxa"/>
          <w:trHeight w:val="152"/>
          <w:jc w:val="center"/>
        </w:trPr>
        <w:tc>
          <w:tcPr>
            <w:tcW w:w="751" w:type="dxa"/>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SPD11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1.2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1.6 </w:t>
            </w:r>
          </w:p>
        </w:tc>
        <w:tc>
          <w:tcPr>
            <w:tcW w:w="751" w:type="dxa"/>
            <w:gridSpan w:val="2"/>
            <w:shd w:val="clear" w:color="auto" w:fill="FFC00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1.8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1.1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1.3 </w:t>
            </w:r>
          </w:p>
        </w:tc>
        <w:tc>
          <w:tcPr>
            <w:tcW w:w="751" w:type="dxa"/>
            <w:gridSpan w:val="2"/>
            <w:shd w:val="clear" w:color="auto" w:fill="F0FB9D"/>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1.5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2.9 </w:t>
            </w:r>
          </w:p>
        </w:tc>
        <w:tc>
          <w:tcPr>
            <w:tcW w:w="751" w:type="dxa"/>
            <w:gridSpan w:val="2"/>
            <w:shd w:val="clear" w:color="auto" w:fill="FF7C8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3.4 </w:t>
            </w:r>
          </w:p>
        </w:tc>
        <w:tc>
          <w:tcPr>
            <w:tcW w:w="751" w:type="dxa"/>
            <w:gridSpan w:val="2"/>
            <w:shd w:val="clear" w:color="auto" w:fill="FF7C80"/>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3.6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 xml:space="preserve">2.8 </w:t>
            </w:r>
          </w:p>
        </w:tc>
        <w:tc>
          <w:tcPr>
            <w:tcW w:w="751" w:type="dxa"/>
            <w:gridSpan w:val="2"/>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b/>
                <w:bCs/>
                <w:color w:val="000000"/>
                <w:sz w:val="20"/>
                <w:szCs w:val="20"/>
              </w:rPr>
              <w:t xml:space="preserve">3.1 </w:t>
            </w:r>
          </w:p>
        </w:tc>
        <w:tc>
          <w:tcPr>
            <w:tcW w:w="751" w:type="dxa"/>
            <w:shd w:val="clear" w:color="auto" w:fill="FCBB74"/>
          </w:tcPr>
          <w:p w:rsidR="007503FB" w:rsidRPr="007503FB" w:rsidRDefault="007503FB" w:rsidP="007503FB">
            <w:pPr>
              <w:autoSpaceDE w:val="0"/>
              <w:autoSpaceDN w:val="0"/>
              <w:adjustRightInd w:val="0"/>
              <w:rPr>
                <w:rFonts w:ascii="Calibri" w:hAnsi="Calibri" w:cs="Calibri"/>
                <w:color w:val="000000"/>
                <w:sz w:val="20"/>
                <w:szCs w:val="20"/>
              </w:rPr>
            </w:pPr>
            <w:r w:rsidRPr="007503FB">
              <w:rPr>
                <w:rFonts w:ascii="Calibri" w:hAnsi="Calibri" w:cs="Calibri"/>
                <w:color w:val="000000"/>
                <w:sz w:val="20"/>
                <w:szCs w:val="20"/>
              </w:rPr>
              <w:t>3.3</w:t>
            </w:r>
          </w:p>
        </w:tc>
      </w:tr>
    </w:tbl>
    <w:p w:rsidR="007503FB" w:rsidRDefault="007503FB" w:rsidP="00D70825"/>
    <w:p w:rsidR="008E1842" w:rsidRDefault="008E1842">
      <w:r>
        <w:br w:type="page"/>
      </w:r>
    </w:p>
    <w:p w:rsidR="007503FB" w:rsidRDefault="008E1842" w:rsidP="00D70825">
      <w:r w:rsidRPr="008E1842">
        <w:rPr>
          <w:noProof/>
          <w:lang w:eastAsia="it-IT"/>
        </w:rPr>
        <w:lastRenderedPageBreak/>
        <w:drawing>
          <wp:inline distT="0" distB="0" distL="0" distR="0">
            <wp:extent cx="5708650" cy="6934200"/>
            <wp:effectExtent l="0" t="0" r="635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8650" cy="6934200"/>
                    </a:xfrm>
                    <a:prstGeom prst="rect">
                      <a:avLst/>
                    </a:prstGeom>
                    <a:noFill/>
                    <a:ln>
                      <a:noFill/>
                    </a:ln>
                  </pic:spPr>
                </pic:pic>
              </a:graphicData>
            </a:graphic>
          </wp:inline>
        </w:drawing>
      </w:r>
    </w:p>
    <w:p w:rsidR="008E1842" w:rsidRDefault="008E1842" w:rsidP="008E1842">
      <w:pPr>
        <w:rPr>
          <w:b/>
          <w:bCs/>
        </w:rPr>
      </w:pPr>
      <w:r w:rsidRPr="008E1842">
        <w:t xml:space="preserve">Figura 13 </w:t>
      </w:r>
      <w:r>
        <w:t>Le</w:t>
      </w:r>
      <w:r w:rsidRPr="008E1842">
        <w:t xml:space="preserve"> S</w:t>
      </w:r>
      <w:r>
        <w:t xml:space="preserve">pectral </w:t>
      </w:r>
      <w:r w:rsidRPr="008E1842">
        <w:t>P</w:t>
      </w:r>
      <w:r>
        <w:t xml:space="preserve">wer </w:t>
      </w:r>
      <w:r w:rsidRPr="008E1842">
        <w:t>D</w:t>
      </w:r>
      <w:r>
        <w:t>istribution</w:t>
      </w:r>
      <w:r w:rsidRPr="008E1842">
        <w:t xml:space="preserve"> delle sorgenti luminose </w:t>
      </w:r>
      <w:r>
        <w:t>modellate nello studio, tracciate</w:t>
      </w:r>
      <w:r w:rsidRPr="008E1842">
        <w:t xml:space="preserve"> da 380 a 780 nm ad una uscita lumen. Il grafico superiore m</w:t>
      </w:r>
      <w:r>
        <w:t>ostra l'insieme di SPD modellate</w:t>
      </w:r>
      <w:r w:rsidRPr="008E1842">
        <w:t xml:space="preserve"> in questo studio, mostrando la gamma globale di potenza radiante spettrale per tutti i prodotti. Il grafico centrale si ingrandisce per rivelare meglio la variazione tra le forme d'onda non-LPS. Il grafico inferiore mostra solo i LED. La variazione significativa tra i contenuti spettrali è evidente in tutti i grafici.</w:t>
      </w:r>
    </w:p>
    <w:p w:rsidR="008E1842" w:rsidRDefault="008E1842" w:rsidP="008E1842">
      <w:pPr>
        <w:rPr>
          <w:b/>
          <w:bCs/>
        </w:rPr>
      </w:pPr>
    </w:p>
    <w:p w:rsidR="008E1842" w:rsidRDefault="008E1842" w:rsidP="008E1842">
      <w:pPr>
        <w:rPr>
          <w:b/>
          <w:bCs/>
        </w:rPr>
      </w:pPr>
    </w:p>
    <w:p w:rsidR="008E1842" w:rsidRDefault="008E1842" w:rsidP="008E1842">
      <w:pPr>
        <w:rPr>
          <w:b/>
          <w:bCs/>
        </w:rPr>
      </w:pPr>
    </w:p>
    <w:p w:rsidR="008E1842" w:rsidRDefault="008E1842">
      <w:pPr>
        <w:rPr>
          <w:b/>
          <w:bCs/>
        </w:rPr>
      </w:pPr>
      <w:r>
        <w:rPr>
          <w:b/>
          <w:bCs/>
        </w:rPr>
        <w:br w:type="page"/>
      </w:r>
    </w:p>
    <w:p w:rsidR="008E1842" w:rsidRDefault="008E1842" w:rsidP="008E1842">
      <w:pPr>
        <w:rPr>
          <w:bCs/>
        </w:rPr>
      </w:pPr>
      <w:r w:rsidRPr="008E1842">
        <w:rPr>
          <w:bCs/>
        </w:rPr>
        <w:lastRenderedPageBreak/>
        <w:t>La figura 14 mostra gli stessi dati sotto forma di grafici a barre. I grafici inferiori sono ulteriormente divisi in condizioni atmosferiche. Gli impatti mostrati sono basati su un'uscita luminosa uniforme della sorgente. In questi risultati, le specifiche della città e</w:t>
      </w:r>
      <w:r>
        <w:rPr>
          <w:bCs/>
        </w:rPr>
        <w:t xml:space="preserve"> </w:t>
      </w:r>
      <w:r w:rsidRPr="008E1842">
        <w:rPr>
          <w:bCs/>
        </w:rPr>
        <w:t>i valori percentuali di uplight non modificano in modo significativo l'impatto relativo di ciascun SPD rispetto a HPS; l'impatto è più correlato al tipo di risultato (non ponderato rispetto a quello ponderato) e talvolta varia a seconda della posizione dell'osservatore (ad esempio, ogni SPD ha una gamma di impatto maggiore quando l'osservatore è all'interno della città rispetto all'esterno della città). La ponderazione scotopica aumenta il bagliore relativo di tutte le sorgenti luminose tranne LPS e PC Amber LEDs.</w:t>
      </w:r>
    </w:p>
    <w:p w:rsidR="008E1842" w:rsidRDefault="008E1842" w:rsidP="008E1842">
      <w:pPr>
        <w:rPr>
          <w:bCs/>
        </w:rPr>
      </w:pPr>
    </w:p>
    <w:p w:rsidR="008E1842" w:rsidRDefault="008E1842" w:rsidP="008E1842">
      <w:r w:rsidRPr="008E1842">
        <w:rPr>
          <w:noProof/>
          <w:lang w:eastAsia="it-IT"/>
        </w:rPr>
        <w:drawing>
          <wp:inline distT="0" distB="0" distL="0" distR="0">
            <wp:extent cx="6191250" cy="600075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1250" cy="6000750"/>
                    </a:xfrm>
                    <a:prstGeom prst="rect">
                      <a:avLst/>
                    </a:prstGeom>
                    <a:noFill/>
                    <a:ln>
                      <a:noFill/>
                    </a:ln>
                  </pic:spPr>
                </pic:pic>
              </a:graphicData>
            </a:graphic>
          </wp:inline>
        </w:drawing>
      </w:r>
    </w:p>
    <w:p w:rsidR="007409DB" w:rsidRDefault="007409DB" w:rsidP="008E1842"/>
    <w:p w:rsidR="007409DB" w:rsidRDefault="007409DB" w:rsidP="008E1842">
      <w:r w:rsidRPr="007409DB">
        <w:t>Figura 14 Impatto relativo di SPD rispetto a HPS per entrambe le posizioni dell'osservatore. I grafici più alti mostrano il minimo, il primo quarto, il mediano, il terzo quartile e i valori massimi, con le aree ombreggiate che rappresentano i dati entro i percentuali da 25 a 75. Il blu indica le sorgenti LED bianche mentre il rosso indica il LED PC Amber, il LPS giallo, l'alogenuro di metallo verde e il grigio Equal Energy spectrum. I grafici inferiori sono suddivisi in condizioni atmosferiche, mostrando i valori minimi e massimi per ATM1-2, ATM3-4 e ATM5. L'ombreggiatura cotta indica sovrapposizioni in condizioni atmosferiche. Le righe rosse verticali in tutti i grafici rappresentano la base iniziale di HPS a 1.0.</w:t>
      </w:r>
    </w:p>
    <w:p w:rsidR="00F91701" w:rsidRDefault="00F91701" w:rsidP="008E1842"/>
    <w:p w:rsidR="00F91701" w:rsidRDefault="00F91701">
      <w:r>
        <w:br w:type="page"/>
      </w:r>
    </w:p>
    <w:p w:rsidR="00F91701" w:rsidRDefault="00F91701" w:rsidP="008E1842"/>
    <w:p w:rsidR="00F91701" w:rsidRDefault="00F91701" w:rsidP="008E1842">
      <w:r w:rsidRPr="00F91701">
        <w:t xml:space="preserve">L'atmosfera disperde più facilmente </w:t>
      </w:r>
      <w:r>
        <w:t xml:space="preserve">le </w:t>
      </w:r>
      <w:r w:rsidRPr="00F91701">
        <w:t xml:space="preserve">lunghezze d'onda più corte, in modo che il bagliore </w:t>
      </w:r>
      <w:r>
        <w:t>colorato</w:t>
      </w:r>
      <w:r w:rsidRPr="00F91701">
        <w:t xml:space="preserve"> del cielo in condizioni senza nuvole è probabile che sia più blu il colore della luce emessa dalla illuminazione stradale (proprio come con luce naturale, dove il cielo appare blu rispetto alla luce bianca proveniente dal sol</w:t>
      </w:r>
      <w:r>
        <w:t xml:space="preserve">e). La Figura 15 mostra </w:t>
      </w:r>
      <w:r w:rsidRPr="00F91701">
        <w:t>l</w:t>
      </w:r>
      <w:r>
        <w:t>a distribuzione spettrale</w:t>
      </w:r>
      <w:r w:rsidRPr="00F91701">
        <w:t xml:space="preserve"> risultante </w:t>
      </w:r>
      <w:r>
        <w:t xml:space="preserve">del chiarore del </w:t>
      </w:r>
      <w:r w:rsidRPr="00F91701">
        <w:t xml:space="preserve">cielo per una sorgente di energia uguale (cioè, uno SPD con uguale energia emessa a tutte le lunghezze d'onda), e quindi rappresenta la potenza relativa di ciascuna lunghezza d'onda della sorgente originale che sarebbe presente come </w:t>
      </w:r>
      <w:r>
        <w:t xml:space="preserve">chiarore del </w:t>
      </w:r>
      <w:r w:rsidRPr="00F91701">
        <w:t xml:space="preserve">cielo per un osservatore situato vicino alla </w:t>
      </w:r>
      <w:r>
        <w:t>città</w:t>
      </w:r>
      <w:r w:rsidRPr="00F91701">
        <w:t>.</w:t>
      </w:r>
      <w:r w:rsidRPr="00F91701">
        <w:rPr>
          <w:vertAlign w:val="superscript"/>
        </w:rPr>
        <w:t>34</w:t>
      </w:r>
      <w:r w:rsidRPr="00F91701">
        <w:t xml:space="preserve"> </w:t>
      </w:r>
      <w:r>
        <w:t xml:space="preserve">Notare </w:t>
      </w:r>
      <w:r w:rsidRPr="00F91701">
        <w:t xml:space="preserve">che, ad eccezione </w:t>
      </w:r>
      <w:r>
        <w:t xml:space="preserve">di </w:t>
      </w:r>
      <w:r w:rsidRPr="00F91701">
        <w:t xml:space="preserve">ATM5 (la condizione atmosferica nuvoloso), </w:t>
      </w:r>
      <w:r>
        <w:t xml:space="preserve">le </w:t>
      </w:r>
      <w:r w:rsidRPr="00F91701">
        <w:t xml:space="preserve">lunghezze d'onda molto brevi nello spettro predominano </w:t>
      </w:r>
      <w:r>
        <w:t xml:space="preserve">nel chiarore del </w:t>
      </w:r>
      <w:r w:rsidRPr="00F91701">
        <w:t xml:space="preserve">cielo per </w:t>
      </w:r>
      <w:r>
        <w:t>l’</w:t>
      </w:r>
      <w:r w:rsidRPr="00F91701">
        <w:t xml:space="preserve"> osservatore</w:t>
      </w:r>
      <w:r>
        <w:t xml:space="preserve"> vicino, seguito</w:t>
      </w:r>
      <w:r w:rsidRPr="00F91701">
        <w:t xml:space="preserve"> da</w:t>
      </w:r>
      <w:r>
        <w:t>l</w:t>
      </w:r>
      <w:r w:rsidRPr="00F91701">
        <w:t xml:space="preserve"> blu e diminuendo uniformemente attraverso i colori </w:t>
      </w:r>
      <w:r>
        <w:t xml:space="preserve">a maggiore </w:t>
      </w:r>
      <w:r w:rsidRPr="00F91701">
        <w:t>lunghe</w:t>
      </w:r>
      <w:r>
        <w:t>zza d’onda</w:t>
      </w:r>
      <w:r w:rsidRPr="00F91701">
        <w:t xml:space="preserve"> dello spettro, con </w:t>
      </w:r>
      <w:r>
        <w:t xml:space="preserve">le </w:t>
      </w:r>
      <w:r w:rsidRPr="00F91701">
        <w:t xml:space="preserve">lunghezze d'onda rosse </w:t>
      </w:r>
      <w:r>
        <w:t>che contribuiscono</w:t>
      </w:r>
      <w:r w:rsidRPr="00F91701">
        <w:t xml:space="preserve"> al minimo. In condizioni </w:t>
      </w:r>
      <w:r>
        <w:t xml:space="preserve">di cileo </w:t>
      </w:r>
      <w:r w:rsidRPr="00F91701">
        <w:t xml:space="preserve">nuvoloso, tuttavia, le lunghezze d'onda sono disperse più uniformemente (a causa di un effetto di attenuazione tra la sorgente, altezza nuvola, e osservatore), quindi c'è meno variazione spettrale (e quindi </w:t>
      </w:r>
      <w:r w:rsidR="002628AE">
        <w:t>lo spettro de</w:t>
      </w:r>
      <w:r w:rsidRPr="00F91701">
        <w:t xml:space="preserve">l </w:t>
      </w:r>
      <w:r w:rsidR="002628AE">
        <w:t xml:space="preserve">chiarore del </w:t>
      </w:r>
      <w:r w:rsidRPr="00F91701">
        <w:t xml:space="preserve">cielo o </w:t>
      </w:r>
      <w:r w:rsidR="002628AE">
        <w:t xml:space="preserve">della </w:t>
      </w:r>
      <w:r w:rsidRPr="00F91701">
        <w:t>"nuvola" appare più vicino quello della fonte originale).</w:t>
      </w:r>
    </w:p>
    <w:p w:rsidR="002628AE" w:rsidRDefault="002628AE" w:rsidP="008E1842"/>
    <w:p w:rsidR="002628AE" w:rsidRDefault="002628AE" w:rsidP="008E1842">
      <w:r w:rsidRPr="002628AE">
        <w:rPr>
          <w:noProof/>
          <w:lang w:eastAsia="it-IT"/>
        </w:rPr>
        <w:drawing>
          <wp:inline distT="0" distB="0" distL="0" distR="0">
            <wp:extent cx="5708650" cy="4146550"/>
            <wp:effectExtent l="0" t="0" r="635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08650" cy="4146550"/>
                    </a:xfrm>
                    <a:prstGeom prst="rect">
                      <a:avLst/>
                    </a:prstGeom>
                    <a:noFill/>
                    <a:ln>
                      <a:noFill/>
                    </a:ln>
                  </pic:spPr>
                </pic:pic>
              </a:graphicData>
            </a:graphic>
          </wp:inline>
        </w:drawing>
      </w:r>
    </w:p>
    <w:p w:rsidR="002628AE" w:rsidRDefault="002628AE" w:rsidP="008E1842">
      <w:r w:rsidRPr="002628AE">
        <w:t>Figura 15 Per ogni città posizione dell'osservatore vicino, la relativa distribuzione di potenza spettrale del cielo risultante si illumina per la SPD uguale di energia basata sulla condizione atmosferica e la percentuale di uplight.</w:t>
      </w:r>
      <w:r w:rsidRPr="002628AE">
        <w:br/>
      </w:r>
      <w:r w:rsidRPr="002628AE">
        <w:br/>
        <w:t xml:space="preserve">Le lunghezze d'onda più corte influenzano il </w:t>
      </w:r>
      <w:r>
        <w:t>chiarore</w:t>
      </w:r>
      <w:r w:rsidRPr="002628AE">
        <w:t xml:space="preserve"> del cielo </w:t>
      </w:r>
      <w:r>
        <w:t xml:space="preserve">sia </w:t>
      </w:r>
      <w:r w:rsidRPr="002628AE">
        <w:t xml:space="preserve">per un osservatore lontano che per l'osservatore vicino, perché le lunghezze d'onda più corte sono più probabili essere disperse o ridotte per lunghe distanze di viaggio. Questo effetto diventa ancora più pronunciato in presenza di nuvolosità e torbidità nell'atmosfera (Figura 16). Mentre </w:t>
      </w:r>
      <w:r>
        <w:t xml:space="preserve">per </w:t>
      </w:r>
      <w:r w:rsidRPr="002628AE">
        <w:t xml:space="preserve">l'osservatore lontano in questo studio </w:t>
      </w:r>
      <w:r>
        <w:t xml:space="preserve">che </w:t>
      </w:r>
      <w:r w:rsidRPr="002628AE">
        <w:t>è a soli 40 km dal centro della città, l'effetto appiattito sugli SPD del cielo risultante risplende dal contenuto diminuito di lunghezza d'onda corta è già visibile.</w:t>
      </w:r>
    </w:p>
    <w:p w:rsidR="002628AE" w:rsidRDefault="002628AE" w:rsidP="008E1842"/>
    <w:p w:rsidR="002628AE" w:rsidRDefault="002628AE" w:rsidP="008E1842"/>
    <w:p w:rsidR="002628AE" w:rsidRDefault="002628AE" w:rsidP="008E1842">
      <w:pPr>
        <w:pBdr>
          <w:bottom w:val="single" w:sz="6" w:space="1" w:color="auto"/>
        </w:pBdr>
      </w:pPr>
    </w:p>
    <w:p w:rsidR="002628AE" w:rsidRDefault="002628AE" w:rsidP="008F1079">
      <w:pPr>
        <w:pBdr>
          <w:bottom w:val="single" w:sz="6" w:space="1" w:color="auto"/>
        </w:pBdr>
      </w:pPr>
    </w:p>
    <w:p w:rsidR="008F1079" w:rsidRDefault="008F1079" w:rsidP="008F1079">
      <w:pPr>
        <w:pBdr>
          <w:bottom w:val="single" w:sz="6" w:space="1" w:color="auto"/>
        </w:pBdr>
      </w:pPr>
    </w:p>
    <w:p w:rsidR="008F1079" w:rsidRDefault="008F1079" w:rsidP="008F1079">
      <w:pPr>
        <w:pBdr>
          <w:bottom w:val="single" w:sz="6" w:space="1" w:color="auto"/>
        </w:pBdr>
      </w:pPr>
    </w:p>
    <w:p w:rsidR="002628AE" w:rsidRDefault="002628AE" w:rsidP="008E1842">
      <w:r w:rsidRPr="002628AE">
        <w:t>34 Le correzioni di uplight del 2% sono state omesse da questa grafica per semplicità, ma cadono tra 0% e 5%.</w:t>
      </w:r>
    </w:p>
    <w:p w:rsidR="000210FB" w:rsidRDefault="000210FB">
      <w:r>
        <w:br w:type="page"/>
      </w:r>
    </w:p>
    <w:p w:rsidR="000210FB" w:rsidRDefault="000210FB" w:rsidP="008E1842"/>
    <w:p w:rsidR="0093274D" w:rsidRDefault="0093274D" w:rsidP="008E1842">
      <w:r w:rsidRPr="0093274D">
        <w:rPr>
          <w:noProof/>
          <w:lang w:eastAsia="it-IT"/>
        </w:rPr>
        <w:drawing>
          <wp:inline distT="0" distB="0" distL="0" distR="0">
            <wp:extent cx="5708650" cy="4146550"/>
            <wp:effectExtent l="0" t="0" r="6350" b="635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650" cy="4146550"/>
                    </a:xfrm>
                    <a:prstGeom prst="rect">
                      <a:avLst/>
                    </a:prstGeom>
                    <a:noFill/>
                    <a:ln>
                      <a:noFill/>
                    </a:ln>
                  </pic:spPr>
                </pic:pic>
              </a:graphicData>
            </a:graphic>
          </wp:inline>
        </w:drawing>
      </w:r>
    </w:p>
    <w:p w:rsidR="0093274D" w:rsidRDefault="0093274D" w:rsidP="008E1842">
      <w:r>
        <w:t>Figura</w:t>
      </w:r>
      <w:r w:rsidRPr="0093274D">
        <w:t xml:space="preserve"> 16</w:t>
      </w:r>
      <w:r>
        <w:tab/>
      </w:r>
      <w:r w:rsidRPr="0093274D">
        <w:t>Per ogni città e la posizione distante dell'osservatore, la relativa distribuzione dello spettro di potenza del cielo risultante per lo stesso SPD energetico si basa su condizioni atmosferiche e percentuale di uplight.</w:t>
      </w:r>
    </w:p>
    <w:p w:rsidR="0093274D" w:rsidRDefault="0093274D" w:rsidP="008E1842"/>
    <w:p w:rsidR="0093274D" w:rsidRDefault="0093274D" w:rsidP="008E1842">
      <w:r w:rsidRPr="0093274D">
        <w:t>A un certo punto, le lunghezze d'onda più corte saranno sostanzialmente esaurite dalla dispersione e scompaiono dalla luce continua dello SPD. Le condizioni atmosferiche molto torbid</w:t>
      </w:r>
      <w:r>
        <w:t>e</w:t>
      </w:r>
      <w:r w:rsidRPr="0093274D">
        <w:t xml:space="preserve"> e nuvoloso a 40 km già mostrando </w:t>
      </w:r>
      <w:r>
        <w:t>entrambe</w:t>
      </w:r>
      <w:r w:rsidRPr="0093274D">
        <w:t xml:space="preserve"> questa caratteristica perché tali condizioni esercitano la </w:t>
      </w:r>
      <w:r>
        <w:t>maggiore influenza sulla attenuazione</w:t>
      </w:r>
      <w:r w:rsidRPr="0093274D">
        <w:t xml:space="preserve"> </w:t>
      </w:r>
      <w:r>
        <w:t>del</w:t>
      </w:r>
      <w:r w:rsidRPr="0093274D">
        <w:t>le lunghezze d'onda brevi vicino alla sorgente, e quindi una parte è già stato rimosso dalla relativamente breve distanza percorsa all'osservatore distante. Alla fine, ad un certo maggiore distanza dalla città, tutte le curve assumeranno la forma delle due curve uplight 0% per ATM4 e ATM5 in Figura 16. Si noti inoltre che anche a 40 km in condizioni nuvoloso, solo uplight emessa a bassi angoli sopra il piano orizzontale raggiunge la posizione distante dello spettatore, quindi la forza di potenza radiante in quella posizione è probabilmente già stata sostanzialmente ridotta.</w:t>
      </w:r>
    </w:p>
    <w:p w:rsidR="0093274D" w:rsidRDefault="0093274D" w:rsidP="008E1842"/>
    <w:p w:rsidR="0093274D" w:rsidRDefault="0093274D">
      <w:r>
        <w:br w:type="page"/>
      </w:r>
    </w:p>
    <w:p w:rsidR="00464448" w:rsidRPr="00464448" w:rsidRDefault="00464448" w:rsidP="00464448">
      <w:pPr>
        <w:pStyle w:val="Titolo1"/>
      </w:pPr>
      <w:r w:rsidRPr="00464448">
        <w:lastRenderedPageBreak/>
        <w:t>Discussione dei contributi individuali</w:t>
      </w:r>
    </w:p>
    <w:p w:rsidR="00464448" w:rsidRDefault="00464448" w:rsidP="00464448">
      <w:r w:rsidRPr="00464448">
        <w:t>I contributi individuali dalle diverse variabili al</w:t>
      </w:r>
      <w:r>
        <w:t xml:space="preserve"> chiarore</w:t>
      </w:r>
      <w:r w:rsidRPr="00464448">
        <w:t xml:space="preserve"> del cielo</w:t>
      </w:r>
      <w:r>
        <w:t>,</w:t>
      </w:r>
      <w:r w:rsidRPr="00464448">
        <w:t xml:space="preserve"> variano ampiamente. Anche se </w:t>
      </w:r>
      <w:r w:rsidR="005170B0">
        <w:t>questi</w:t>
      </w:r>
      <w:r w:rsidRPr="00464448">
        <w:t xml:space="preserve"> contributi non si verificano naturalmente in isolamento - in altre parole i risultati osservati in una posizione effettiva riflettono la somma totale delle singole influenze (alcune delle quali sono in contrasto con altre), è utile rivedere separatamente per comprendere meglio le variabili (o "leve") </w:t>
      </w:r>
      <w:r w:rsidR="005170B0">
        <w:t xml:space="preserve">che </w:t>
      </w:r>
      <w:r w:rsidRPr="00464448">
        <w:t>un pianificatore ha a disposizione per influenzare l'impatto finale di un sistema. La combinazione di questi singoli contributi è oggetto della Sezione 7.</w:t>
      </w:r>
    </w:p>
    <w:p w:rsidR="005170B0" w:rsidRDefault="005170B0" w:rsidP="00464448"/>
    <w:p w:rsidR="005170B0" w:rsidRDefault="00464448" w:rsidP="00464448">
      <w:r w:rsidRPr="00464448">
        <w:t>La Figura 17 separa gli impatti relativi delle variabili indipendenti dal sistema di illuminazione (ad esempio, condizioni atmosferiche) da quelle che possono essere alterate tramite la selezione dell'apparecchio (ad esempio, SPD, percentuale di uplight e output della luce). Nella figura 17, le condizioni atmosferiche sono relative a ATM1 e SPD è relativo a HPS. I valori percentuali di uplight rappresentano una variazione da 2% a 0% uplight e i valori di uscita della luce rappresentano una modifica dal 100% al 50% di output.</w:t>
      </w:r>
    </w:p>
    <w:p w:rsidR="00464448" w:rsidRDefault="00464448" w:rsidP="00464448">
      <w:r w:rsidRPr="00464448">
        <w:t xml:space="preserve">I livelli relativi di influenza sono più importanti in questo grafico rispetto ai valori assoluti dei risultati, in quanto l'accuratezza complessiva dei valori è valida solo come le ipotesi che li </w:t>
      </w:r>
      <w:r w:rsidR="005170B0">
        <w:t>sottintende</w:t>
      </w:r>
      <w:r w:rsidRPr="00464448">
        <w:t xml:space="preserve"> (e come noto, l'impatto finale è derivato</w:t>
      </w:r>
      <w:r w:rsidR="005170B0">
        <w:t xml:space="preserve"> dalla combinazione di elementi</w:t>
      </w:r>
      <w:r w:rsidRPr="00464448">
        <w:t xml:space="preserve">). Tuttavia, </w:t>
      </w:r>
      <w:r w:rsidR="005170B0">
        <w:t xml:space="preserve">la </w:t>
      </w:r>
      <w:r w:rsidRPr="00464448">
        <w:t>co</w:t>
      </w:r>
      <w:r w:rsidR="005170B0">
        <w:t>mparazinoe</w:t>
      </w:r>
      <w:r w:rsidRPr="00464448">
        <w:t xml:space="preserve"> </w:t>
      </w:r>
      <w:r w:rsidR="005170B0">
        <w:t>del</w:t>
      </w:r>
      <w:r w:rsidRPr="00464448">
        <w:t>le dimensioni relative delle colonne corrispondenti fornisce un'indicazione utile dei diversi livelli di influenza.</w:t>
      </w:r>
    </w:p>
    <w:p w:rsidR="005170B0" w:rsidRDefault="005170B0" w:rsidP="00464448"/>
    <w:p w:rsidR="005170B0" w:rsidRDefault="005170B0" w:rsidP="00464448">
      <w:r>
        <w:t>D</w:t>
      </w:r>
      <w:r w:rsidRPr="005170B0">
        <w:t xml:space="preserve">ai grafici possono essere </w:t>
      </w:r>
      <w:proofErr w:type="gramStart"/>
      <w:r w:rsidRPr="005170B0">
        <w:t>tratte:</w:t>
      </w:r>
      <w:r>
        <w:t>un</w:t>
      </w:r>
      <w:proofErr w:type="gramEnd"/>
      <w:r>
        <w:t xml:space="preserve"> certo numero di osservazioni</w:t>
      </w:r>
    </w:p>
    <w:p w:rsidR="005170B0" w:rsidRDefault="005170B0" w:rsidP="005170B0">
      <w:pPr>
        <w:pStyle w:val="Paragrafoelenco"/>
        <w:numPr>
          <w:ilvl w:val="0"/>
          <w:numId w:val="21"/>
        </w:numPr>
      </w:pPr>
      <w:r w:rsidRPr="005170B0">
        <w:t>Le condizioni atmosferiche hanno il potenziale di aumentare significativamente l'impatto sul bagliore del cielo per gli osservatori vicini.</w:t>
      </w:r>
    </w:p>
    <w:p w:rsidR="005170B0" w:rsidRDefault="005170B0" w:rsidP="005170B0">
      <w:pPr>
        <w:pStyle w:val="Paragrafoelenco"/>
        <w:numPr>
          <w:ilvl w:val="0"/>
          <w:numId w:val="21"/>
        </w:numPr>
      </w:pPr>
      <w:r w:rsidRPr="005170B0">
        <w:t>Tra le caratteristiche dell'apparecchio per illuminazione stradale, SPD ha il maggior potenziale per aumentare la luminosità del cielo se si considera una gamma completa di opzioni di prodotto (cioè, dal LPS all'aliduro di metallo e tutti gli altri prodotti in mezzo); tuttavia, quando la selezione effettiva è considerata tra due prodotti relativamente vicini alle caratteristiche, ad esempio un LED nominale di 3000 K contro un LED da 4000 K, la gamma degli impatti è molto più ridotta, anche quando è ponderata in modo scotopico.</w:t>
      </w:r>
    </w:p>
    <w:p w:rsidR="005170B0" w:rsidRDefault="005170B0" w:rsidP="005170B0">
      <w:pPr>
        <w:pStyle w:val="Paragrafoelenco"/>
        <w:numPr>
          <w:ilvl w:val="0"/>
          <w:numId w:val="21"/>
        </w:numPr>
      </w:pPr>
      <w:r w:rsidRPr="005170B0">
        <w:t>Come modellato in questo studio, ridurre la percentuale di uplight ha il maggior potenziale per ridurre significativamente il bagliore del cielo per gli osservatori lontani dalla città. La Figura 17 mostra che la riduzione della luminosità dal 2% al 0% quasi elimina qualsiasi aumento di luminosità del cielo per l'osservatore distante rispetto alla condizione base definita, per tutti i livelli di uscita SPD e lumen.</w:t>
      </w:r>
    </w:p>
    <w:p w:rsidR="005170B0" w:rsidRDefault="005170B0" w:rsidP="005170B0">
      <w:pPr>
        <w:pStyle w:val="Paragrafoelenco"/>
        <w:numPr>
          <w:ilvl w:val="0"/>
          <w:numId w:val="21"/>
        </w:numPr>
      </w:pPr>
      <w:r w:rsidRPr="005170B0">
        <w:t>Mentre non è stato modellato nulla al di sotto di una riduzione del 50% della potenza luminosa, si dovrebbe anche notare che il bagliore del cielo direttamente scalda su o giù con l'uscita luminosa per tutte le posizioni dell'osservatore. Ciò suggerisce che, ad esempio, durante determinate ore in cui i livelli di luce più bassi potrebbero essere accettabili per la sicurezza locale e altri criteri, il sistema di illuminazione potrebbe essere oscurato a qualsiasi livello (incluso nessuno) per diminuire ulteriormente i corrispondenti contributi al cielo.</w:t>
      </w:r>
    </w:p>
    <w:p w:rsidR="005170B0" w:rsidRDefault="005170B0" w:rsidP="00464448"/>
    <w:p w:rsidR="005170B0" w:rsidRDefault="005170B0" w:rsidP="00464448">
      <w:r w:rsidRPr="005170B0">
        <w:t xml:space="preserve">Mentre i grafici non mostrano l'impatto delle caratteristiche della città, vale a dire l'area della città e la densità di illuminazione (numero di luci per area unitaria), le città più grandi e l'aumentata densità di illuminazione aumentano significativamente l'impatto </w:t>
      </w:r>
      <w:r>
        <w:t xml:space="preserve">per gli </w:t>
      </w:r>
      <w:r w:rsidRPr="005170B0">
        <w:t xml:space="preserve">osservatori </w:t>
      </w:r>
      <w:r w:rsidR="005F0C66">
        <w:t xml:space="preserve">sia </w:t>
      </w:r>
      <w:r w:rsidRPr="005170B0">
        <w:t xml:space="preserve">all'interno </w:t>
      </w:r>
      <w:r w:rsidR="005F0C66">
        <w:t>ch</w:t>
      </w:r>
      <w:r w:rsidRPr="005170B0">
        <w:t>e lo</w:t>
      </w:r>
      <w:r w:rsidR="005F0C66">
        <w:t xml:space="preserve">ntani dalla città. Questo non </w:t>
      </w:r>
      <w:r w:rsidRPr="005170B0">
        <w:t xml:space="preserve">sorprende, dato che le grandi città tendono a generare più luce che provocano </w:t>
      </w:r>
      <w:r w:rsidR="005F0C66">
        <w:t>l’illuminazione</w:t>
      </w:r>
      <w:r w:rsidRPr="005170B0">
        <w:t xml:space="preserve"> cielo su distanze</w:t>
      </w:r>
      <w:r w:rsidR="005F0C66">
        <w:t xml:space="preserve"> maggiori</w:t>
      </w:r>
      <w:r w:rsidRPr="005170B0">
        <w:t>.</w:t>
      </w:r>
    </w:p>
    <w:p w:rsidR="005170B0" w:rsidRDefault="005170B0" w:rsidP="005170B0"/>
    <w:p w:rsidR="005F0C66" w:rsidRDefault="005F0C66">
      <w:r>
        <w:br w:type="page"/>
      </w:r>
    </w:p>
    <w:p w:rsidR="005F0C66" w:rsidRDefault="005F0C66" w:rsidP="005170B0"/>
    <w:p w:rsidR="005F0C66" w:rsidRDefault="005F0C66" w:rsidP="005170B0">
      <w:r w:rsidRPr="005F0C66">
        <w:rPr>
          <w:noProof/>
          <w:lang w:eastAsia="it-IT"/>
        </w:rPr>
        <w:drawing>
          <wp:inline distT="0" distB="0" distL="0" distR="0">
            <wp:extent cx="6840220" cy="6264901"/>
            <wp:effectExtent l="0" t="0" r="0" b="317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6264901"/>
                    </a:xfrm>
                    <a:prstGeom prst="rect">
                      <a:avLst/>
                    </a:prstGeom>
                    <a:noFill/>
                    <a:ln>
                      <a:noFill/>
                    </a:ln>
                  </pic:spPr>
                </pic:pic>
              </a:graphicData>
            </a:graphic>
          </wp:inline>
        </w:drawing>
      </w:r>
    </w:p>
    <w:p w:rsidR="005F0C66" w:rsidRDefault="005F0C66" w:rsidP="005170B0"/>
    <w:p w:rsidR="005F0C66" w:rsidRDefault="00C46D7C" w:rsidP="005170B0">
      <w:r w:rsidRPr="009F6DA3">
        <w:rPr>
          <w:b/>
        </w:rPr>
        <w:t>Figura 17</w:t>
      </w:r>
      <w:r w:rsidRPr="00C46D7C">
        <w:t xml:space="preserve"> La gamma relativa </w:t>
      </w:r>
      <w:r>
        <w:t>nell’impatto</w:t>
      </w:r>
      <w:r w:rsidRPr="00C46D7C">
        <w:t xml:space="preserve"> delle condizioni atmosferiche (relative a ATM1) a sinistra, </w:t>
      </w:r>
      <w:r>
        <w:t>insieme</w:t>
      </w:r>
      <w:r w:rsidRPr="00C46D7C">
        <w:t xml:space="preserve"> a SPD (rispetto a HPS), percentuale di </w:t>
      </w:r>
      <w:r>
        <w:t>luce diretta verso l’alto</w:t>
      </w:r>
      <w:r w:rsidRPr="00C46D7C">
        <w:t xml:space="preserve"> (</w:t>
      </w:r>
      <w:r>
        <w:t xml:space="preserve">passando </w:t>
      </w:r>
      <w:r w:rsidRPr="00C46D7C">
        <w:t xml:space="preserve">da 2% a </w:t>
      </w:r>
      <w:r>
        <w:t>0%) e uscita luminosa (variazione tra 100% e 50% di</w:t>
      </w:r>
      <w:r w:rsidRPr="00C46D7C">
        <w:t xml:space="preserve"> output) sulla destra. Le barre solide rappresentano i risultati non ponderati mentre le barre tra</w:t>
      </w:r>
      <w:r>
        <w:t>tteggiate sono ponderate per la visione scotopica</w:t>
      </w:r>
      <w:r w:rsidRPr="00C46D7C">
        <w:t xml:space="preserve">. </w:t>
      </w:r>
      <w:r>
        <w:t>Sono</w:t>
      </w:r>
      <w:r w:rsidRPr="00C46D7C">
        <w:t xml:space="preserve"> visualizzate </w:t>
      </w:r>
      <w:r>
        <w:t>l</w:t>
      </w:r>
      <w:r w:rsidRPr="00C46D7C">
        <w:t xml:space="preserve">e posizioni specifiche dei singoli LED </w:t>
      </w:r>
      <w:r>
        <w:t xml:space="preserve">SPD </w:t>
      </w:r>
      <w:r w:rsidRPr="00C46D7C">
        <w:t>per facilitare i confronti tra di essi; sono inclusi altri SPD (ad esempio, LPS e MH) per delineare le prestazioni minime e massime.</w:t>
      </w:r>
    </w:p>
    <w:p w:rsidR="00C46D7C" w:rsidRDefault="00C46D7C" w:rsidP="005170B0"/>
    <w:p w:rsidR="00C46D7C" w:rsidRDefault="00C46D7C">
      <w:r>
        <w:br w:type="page"/>
      </w:r>
    </w:p>
    <w:p w:rsidR="00C46D7C" w:rsidRDefault="00C46D7C" w:rsidP="00C46D7C">
      <w:pPr>
        <w:pStyle w:val="Titolo1"/>
      </w:pPr>
      <w:r w:rsidRPr="00C46D7C">
        <w:lastRenderedPageBreak/>
        <w:t>Confronto degli effetti combinati</w:t>
      </w:r>
    </w:p>
    <w:p w:rsidR="00C46D7C" w:rsidRDefault="00C46D7C" w:rsidP="005170B0">
      <w:r w:rsidRPr="00C46D7C">
        <w:t>Finora, l'indagine si è concentrata sulle singole inf</w:t>
      </w:r>
      <w:r w:rsidR="009F6DA3">
        <w:t xml:space="preserve">luenze di variabili diverse sull’illuminazione artificiale </w:t>
      </w:r>
      <w:r w:rsidRPr="00C46D7C">
        <w:t>del cielo</w:t>
      </w:r>
      <w:r w:rsidR="009F6DA3">
        <w:t xml:space="preserve"> notturno</w:t>
      </w:r>
      <w:r w:rsidRPr="00C46D7C">
        <w:t>, mentre i risultati in una conversione reale derivano dalla particolare combinazione di questi elementi in una determinata installazione. Questa sezione combina i diversi elementi per esaminare uno scenario rappresentativo di una tipica conversione dell'illuminazione stradale negli Stati Uniti oggi.</w:t>
      </w:r>
    </w:p>
    <w:p w:rsidR="009F6DA3" w:rsidRDefault="009F6DA3" w:rsidP="005170B0"/>
    <w:p w:rsidR="00582983" w:rsidRDefault="00C46D7C" w:rsidP="005170B0">
      <w:r w:rsidRPr="00C46D7C">
        <w:t>La seg</w:t>
      </w:r>
      <w:r w:rsidR="009F6DA3">
        <w:t>uente serie di confronti sono a</w:t>
      </w:r>
      <w:r w:rsidRPr="00C46D7C">
        <w:t xml:space="preserve"> tre livelli progressivi: il grafico in alto mostra l'effetto isolato </w:t>
      </w:r>
      <w:r w:rsidR="009F6DA3">
        <w:t>nella</w:t>
      </w:r>
      <w:r w:rsidRPr="00C46D7C">
        <w:t xml:space="preserve"> sostituire </w:t>
      </w:r>
      <w:r w:rsidR="009F6DA3">
        <w:t xml:space="preserve">di </w:t>
      </w:r>
      <w:r w:rsidRPr="00C46D7C">
        <w:t xml:space="preserve">HPS SPD di base con i vari altri SPD a LED modellati senza altre modifiche; il grafico centrale aggiunge l'effetto di ridurre </w:t>
      </w:r>
      <w:r w:rsidR="009F6DA3">
        <w:t xml:space="preserve">della metà </w:t>
      </w:r>
      <w:r w:rsidRPr="00C46D7C">
        <w:t xml:space="preserve">l'uscita </w:t>
      </w:r>
      <w:r w:rsidR="009F6DA3">
        <w:t>in</w:t>
      </w:r>
      <w:r w:rsidRPr="00C46D7C">
        <w:t xml:space="preserve"> lumen </w:t>
      </w:r>
      <w:r w:rsidR="009F6DA3">
        <w:t xml:space="preserve">per </w:t>
      </w:r>
      <w:r w:rsidRPr="00C46D7C">
        <w:t xml:space="preserve">lampada rispetto alla linea di base HPS (un risultato tipico per le conversioni negli Stati Uniti); e il grafico inferiore aggiunge </w:t>
      </w:r>
      <w:r w:rsidR="009F6DA3">
        <w:t>inoltre</w:t>
      </w:r>
      <w:r w:rsidRPr="00C46D7C">
        <w:t xml:space="preserve"> l'impatto dell'eliminazione della </w:t>
      </w:r>
      <w:r w:rsidR="009F6DA3">
        <w:t xml:space="preserve">emissione </w:t>
      </w:r>
      <w:r w:rsidRPr="00C46D7C">
        <w:t xml:space="preserve">luminosa </w:t>
      </w:r>
      <w:r w:rsidR="009F6DA3">
        <w:t>verso l’alto degli apparati</w:t>
      </w:r>
      <w:r w:rsidRPr="00C46D7C">
        <w:t xml:space="preserve">, assumendo un valore tipico di base di HPS del 2%. </w:t>
      </w:r>
      <w:r w:rsidRPr="009F6DA3">
        <w:rPr>
          <w:b/>
        </w:rPr>
        <w:t>I grafi</w:t>
      </w:r>
      <w:r w:rsidR="009F6DA3">
        <w:rPr>
          <w:b/>
        </w:rPr>
        <w:t>ci in basso in entrambe le figure</w:t>
      </w:r>
      <w:r w:rsidRPr="009F6DA3">
        <w:rPr>
          <w:b/>
        </w:rPr>
        <w:t xml:space="preserve"> rappresentano quindi scenari di conversione tipici negli S</w:t>
      </w:r>
      <w:r w:rsidR="009F6DA3">
        <w:rPr>
          <w:b/>
        </w:rPr>
        <w:t xml:space="preserve">tati Uniti: un prodotto a testa tipo cobra </w:t>
      </w:r>
      <w:r w:rsidRPr="009F6DA3">
        <w:rPr>
          <w:b/>
        </w:rPr>
        <w:t xml:space="preserve">HPS incandescente con una luce </w:t>
      </w:r>
      <w:r w:rsidR="009F6DA3">
        <w:rPr>
          <w:b/>
        </w:rPr>
        <w:t>verso l’alto</w:t>
      </w:r>
      <w:r w:rsidRPr="009F6DA3">
        <w:rPr>
          <w:b/>
        </w:rPr>
        <w:t xml:space="preserve"> del 2% sostituita da ciascuno dei prodotti a LED elencati, a metà della luce e dello 0% di uplight.</w:t>
      </w:r>
      <w:r w:rsidRPr="00C46D7C">
        <w:t xml:space="preserve"> La Figura 18 e la Figura 19 mostrano le tre iterazioni per un osservatore vicino e un osservatore distante, rispettivamente, separate in condizioni di </w:t>
      </w:r>
      <w:r w:rsidR="00582983">
        <w:t xml:space="preserve">cielo </w:t>
      </w:r>
      <w:r w:rsidRPr="00C46D7C">
        <w:t xml:space="preserve">nuvoloso e </w:t>
      </w:r>
      <w:r w:rsidR="00582983">
        <w:t>sereno</w:t>
      </w:r>
      <w:r w:rsidRPr="00C46D7C">
        <w:t>. Gli impatti sono ulteriormente div</w:t>
      </w:r>
      <w:r w:rsidR="00582983">
        <w:t>isi nei diversi modelli di LED</w:t>
      </w:r>
      <w:r w:rsidRPr="00C46D7C">
        <w:t xml:space="preserve"> </w:t>
      </w:r>
      <w:r w:rsidR="00582983">
        <w:t>SPD</w:t>
      </w:r>
      <w:r w:rsidRPr="00C46D7C">
        <w:t xml:space="preserve">. </w:t>
      </w:r>
    </w:p>
    <w:p w:rsidR="00582983" w:rsidRDefault="00C46D7C" w:rsidP="005170B0">
      <w:r w:rsidRPr="00C46D7C">
        <w:t>Mentre gli impatti sono chiaramente evidenti, alcun</w:t>
      </w:r>
      <w:r w:rsidR="00582983">
        <w:t>e evidenze</w:t>
      </w:r>
      <w:r w:rsidRPr="00C46D7C">
        <w:t xml:space="preserve"> meritano la menzione:</w:t>
      </w:r>
    </w:p>
    <w:p w:rsidR="00582983" w:rsidRDefault="00C46D7C" w:rsidP="00582983">
      <w:pPr>
        <w:pStyle w:val="Paragrafoelenco"/>
        <w:numPr>
          <w:ilvl w:val="0"/>
          <w:numId w:val="22"/>
        </w:numPr>
      </w:pPr>
      <w:r w:rsidRPr="00C46D7C">
        <w:t xml:space="preserve">Quando SPD è l'unica variabile considerata (come descritto nella sezione precedente, isolando singoli impatti), tutte le conversioni a LED modello diverse dal LED PC Amber aumentano il </w:t>
      </w:r>
      <w:r w:rsidR="00917E87">
        <w:t>chiarore</w:t>
      </w:r>
      <w:r w:rsidRPr="00C46D7C">
        <w:t xml:space="preserve"> del cielo rispetto a HPS.</w:t>
      </w:r>
    </w:p>
    <w:p w:rsidR="00582983" w:rsidRDefault="00917E87" w:rsidP="00582983">
      <w:pPr>
        <w:pStyle w:val="Paragrafoelenco"/>
        <w:numPr>
          <w:ilvl w:val="0"/>
          <w:numId w:val="22"/>
        </w:numPr>
      </w:pPr>
      <w:r>
        <w:t>Il p</w:t>
      </w:r>
      <w:r w:rsidR="00C46D7C" w:rsidRPr="00C46D7C">
        <w:t xml:space="preserve">unteggio scotopico dei risultati aumenta notevolmente l'impatto rispetto ai risultati non ponderati. Generalmente, i prodotti con livelli più elevati di contenuto di lunghezza d'onda corta hanno un impatto maggiore sul </w:t>
      </w:r>
      <w:r>
        <w:t>chiarore</w:t>
      </w:r>
      <w:r w:rsidR="00C46D7C" w:rsidRPr="00C46D7C">
        <w:t xml:space="preserve"> del cielo a causa degli effetti di scattering Rayleigh e aumentano notevolmente tale impatto in quanto aumenta la torbidità atmosferica, poiché la torbidità intensifica lo spargimento. </w:t>
      </w:r>
      <w:r>
        <w:t>Con la ponderazione scotopica</w:t>
      </w:r>
      <w:r w:rsidR="00C46D7C" w:rsidRPr="00C46D7C">
        <w:t xml:space="preserve"> i risultati aumentano ulteriormente l'effetto di </w:t>
      </w:r>
      <w:r>
        <w:t xml:space="preserve">chiarore </w:t>
      </w:r>
      <w:r w:rsidR="00C46D7C" w:rsidRPr="00C46D7C">
        <w:t>calcolato per sorgenti con maggiore con</w:t>
      </w:r>
      <w:r>
        <w:t>tenuto di lunghezza d'onda corte</w:t>
      </w:r>
      <w:r w:rsidR="00C46D7C" w:rsidRPr="00C46D7C">
        <w:t>, tenendo conto dell'aumento della sensibilità dell'occhio umano a lunghezze d'onda corte.</w:t>
      </w:r>
    </w:p>
    <w:p w:rsidR="00582983" w:rsidRDefault="00917E87" w:rsidP="00582983">
      <w:pPr>
        <w:pStyle w:val="Paragrafoelenco"/>
        <w:numPr>
          <w:ilvl w:val="0"/>
          <w:numId w:val="22"/>
        </w:numPr>
      </w:pPr>
      <w:r>
        <w:t>Con la fase successiva,</w:t>
      </w:r>
      <w:r w:rsidR="00C46D7C" w:rsidRPr="00C46D7C">
        <w:t xml:space="preserve"> riducendo la produzione di lumen </w:t>
      </w:r>
      <w:r>
        <w:t>dell</w:t>
      </w:r>
      <w:r w:rsidR="00C46D7C" w:rsidRPr="00C46D7C">
        <w:t xml:space="preserve">a metà </w:t>
      </w:r>
      <w:r w:rsidRPr="00C46D7C">
        <w:t xml:space="preserve">la situazione </w:t>
      </w:r>
      <w:r w:rsidR="00C46D7C" w:rsidRPr="00C46D7C">
        <w:t xml:space="preserve">migliora, diminuendo il </w:t>
      </w:r>
      <w:r>
        <w:t>chiarore</w:t>
      </w:r>
      <w:r w:rsidR="00C46D7C" w:rsidRPr="00C46D7C">
        <w:t xml:space="preserve"> del cielo non ponderato in tutte le conversioni a LED rispetto al sistema HPS di base. Per i risultati ponderati in modo scotopico, il </w:t>
      </w:r>
      <w:r>
        <w:t>chiarore</w:t>
      </w:r>
      <w:r w:rsidR="00C46D7C" w:rsidRPr="00C46D7C">
        <w:t xml:space="preserve"> del cielo rispetto all'HPS è diminuito per alcuni dei prodotti a LED ma aumentato per altri.</w:t>
      </w:r>
    </w:p>
    <w:p w:rsidR="00C46D7C" w:rsidRDefault="00C46D7C" w:rsidP="00582983">
      <w:pPr>
        <w:pStyle w:val="Paragrafoelenco"/>
        <w:numPr>
          <w:ilvl w:val="0"/>
          <w:numId w:val="22"/>
        </w:numPr>
      </w:pPr>
      <w:r w:rsidRPr="00917E87">
        <w:rPr>
          <w:color w:val="FF0000"/>
        </w:rPr>
        <w:t>In definitiva, quando vengono presi in cons</w:t>
      </w:r>
      <w:r w:rsidR="00917E87">
        <w:rPr>
          <w:color w:val="FF0000"/>
        </w:rPr>
        <w:t>iderazione sia la riduzione dei</w:t>
      </w:r>
      <w:r w:rsidRPr="00917E87">
        <w:rPr>
          <w:color w:val="FF0000"/>
        </w:rPr>
        <w:t xml:space="preserve"> lumen </w:t>
      </w:r>
      <w:r w:rsidR="00917E87">
        <w:rPr>
          <w:color w:val="FF0000"/>
        </w:rPr>
        <w:t xml:space="preserve">emessi, </w:t>
      </w:r>
      <w:r w:rsidRPr="00917E87">
        <w:rPr>
          <w:color w:val="FF0000"/>
        </w:rPr>
        <w:t xml:space="preserve">che la percentuale di </w:t>
      </w:r>
      <w:r w:rsidR="00917E87" w:rsidRPr="00917E87">
        <w:rPr>
          <w:color w:val="FF0000"/>
        </w:rPr>
        <w:t>luce diretta verso l’alto</w:t>
      </w:r>
      <w:r w:rsidRPr="00917E87">
        <w:rPr>
          <w:color w:val="FF0000"/>
        </w:rPr>
        <w:t xml:space="preserve">, tutti i prodotti a LED permettono una maggiore riduzione potenziale nella posizione vicina all'osservatore, anche se </w:t>
      </w:r>
      <w:r w:rsidR="00917E87">
        <w:rPr>
          <w:color w:val="FF0000"/>
        </w:rPr>
        <w:t xml:space="preserve">in </w:t>
      </w:r>
      <w:r w:rsidRPr="00917E87">
        <w:rPr>
          <w:color w:val="FF0000"/>
        </w:rPr>
        <w:t xml:space="preserve">certe condizioni potrebbero comunque aumentare </w:t>
      </w:r>
      <w:r w:rsidR="00917E87">
        <w:rPr>
          <w:color w:val="FF0000"/>
        </w:rPr>
        <w:t>la luminosità comlessiva de</w:t>
      </w:r>
      <w:r w:rsidRPr="00917E87">
        <w:rPr>
          <w:color w:val="FF0000"/>
        </w:rPr>
        <w:t>l cielo.</w:t>
      </w:r>
      <w:r w:rsidRPr="00C46D7C">
        <w:t xml:space="preserve"> Nel caso peggiore, modellato in questo studio (il LED </w:t>
      </w:r>
      <w:r w:rsidR="00917E87">
        <w:t xml:space="preserve">con </w:t>
      </w:r>
      <w:r w:rsidRPr="00C46D7C">
        <w:t>lunghezza d'onda</w:t>
      </w:r>
      <w:r w:rsidR="00917E87">
        <w:t xml:space="preserve"> più corte</w:t>
      </w:r>
      <w:r w:rsidRPr="00C46D7C">
        <w:t xml:space="preserve">), i risultati aumentano in modo scotopico, aumentando il contributo al bagliore del cielo rispetto alle luci di strada del 60% rispetto alla linea di base HPS, </w:t>
      </w:r>
      <w:r w:rsidR="00917E87">
        <w:t xml:space="preserve">con </w:t>
      </w:r>
      <w:r w:rsidRPr="00C46D7C">
        <w:t>la massima torbidità</w:t>
      </w:r>
      <w:r w:rsidR="00917E87">
        <w:t xml:space="preserve"> del cielo</w:t>
      </w:r>
      <w:r w:rsidRPr="00C46D7C">
        <w:t xml:space="preserve">. Tuttavia, anche gli impatti di questo scenario peggiore diminuiscono rapidamente con la distanza. Per gli osservatori lontani (a soli 40 km), l'eliminazione </w:t>
      </w:r>
      <w:r w:rsidR="00CA172A">
        <w:t>della luce verso l’alto</w:t>
      </w:r>
      <w:r w:rsidRPr="00C46D7C">
        <w:t xml:space="preserve"> riduce notevolmente il </w:t>
      </w:r>
      <w:r w:rsidR="00CA172A">
        <w:t>chiarore</w:t>
      </w:r>
      <w:r w:rsidRPr="00C46D7C">
        <w:t xml:space="preserve"> del cielo per tutti gli SPD, sia per i risultati non ponderati e quelli ponderati in modo scotopico.</w:t>
      </w:r>
    </w:p>
    <w:p w:rsidR="005F0C66" w:rsidRDefault="005F0C66" w:rsidP="005170B0"/>
    <w:p w:rsidR="00CA172A" w:rsidRDefault="00CA172A">
      <w:r>
        <w:br w:type="page"/>
      </w:r>
    </w:p>
    <w:p w:rsidR="00CA172A" w:rsidRDefault="00CA172A" w:rsidP="005170B0"/>
    <w:p w:rsidR="00CA172A" w:rsidRDefault="00CA172A" w:rsidP="00736FA5">
      <w:pPr>
        <w:jc w:val="center"/>
      </w:pPr>
      <w:r w:rsidRPr="00CA172A">
        <w:rPr>
          <w:noProof/>
          <w:lang w:eastAsia="it-IT"/>
        </w:rPr>
        <w:drawing>
          <wp:inline distT="0" distB="0" distL="0" distR="0">
            <wp:extent cx="6306185" cy="7915499"/>
            <wp:effectExtent l="0" t="0" r="0" b="952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4691" cy="7926175"/>
                    </a:xfrm>
                    <a:prstGeom prst="rect">
                      <a:avLst/>
                    </a:prstGeom>
                    <a:noFill/>
                    <a:ln>
                      <a:noFill/>
                    </a:ln>
                  </pic:spPr>
                </pic:pic>
              </a:graphicData>
            </a:graphic>
          </wp:inline>
        </w:drawing>
      </w:r>
    </w:p>
    <w:p w:rsidR="00CA172A" w:rsidRDefault="00736FA5" w:rsidP="005170B0">
      <w:r w:rsidRPr="00736FA5">
        <w:t xml:space="preserve">Figura 18 </w:t>
      </w:r>
      <w:r w:rsidRPr="00C43629">
        <w:rPr>
          <w:b/>
        </w:rPr>
        <w:t>Risultati combinati delle conversioni a LED d</w:t>
      </w:r>
      <w:r w:rsidR="00F33914" w:rsidRPr="00C43629">
        <w:rPr>
          <w:b/>
        </w:rPr>
        <w:t>ella</w:t>
      </w:r>
      <w:r w:rsidRPr="00C43629">
        <w:rPr>
          <w:b/>
        </w:rPr>
        <w:t xml:space="preserve"> illuminazione stradale, </w:t>
      </w:r>
      <w:r w:rsidR="00C43629">
        <w:rPr>
          <w:b/>
        </w:rPr>
        <w:t xml:space="preserve">per un </w:t>
      </w:r>
      <w:r w:rsidRPr="00C43629">
        <w:rPr>
          <w:b/>
        </w:rPr>
        <w:t xml:space="preserve">osservatore </w:t>
      </w:r>
      <w:r w:rsidR="00C43629">
        <w:rPr>
          <w:b/>
        </w:rPr>
        <w:t xml:space="preserve">vicino </w:t>
      </w:r>
      <w:r w:rsidRPr="00C43629">
        <w:rPr>
          <w:b/>
        </w:rPr>
        <w:t>al margine della città</w:t>
      </w:r>
      <w:r w:rsidR="00C43629">
        <w:t>. Il grafico in alto</w:t>
      </w:r>
      <w:r w:rsidRPr="00736FA5">
        <w:t xml:space="preserve"> mostra l'effetto isolato di sostituire la linea di base HPS SPD con quel</w:t>
      </w:r>
      <w:r w:rsidR="00C43629">
        <w:t>la dei vari altri SPD modellati. Il grafico di mezzo</w:t>
      </w:r>
      <w:r w:rsidRPr="00736FA5">
        <w:t xml:space="preserve"> aggiunge l'effetto di ridurre l'uscita dell'apparecchio per metà </w:t>
      </w:r>
      <w:r w:rsidR="00C43629">
        <w:t>rispetto alla linea di base HPS. Il grafico in basso</w:t>
      </w:r>
      <w:r w:rsidRPr="00736FA5">
        <w:t xml:space="preserve"> aggiunge ulteriormente l'impatto dell'</w:t>
      </w:r>
      <w:r w:rsidR="00C43629">
        <w:t>eliminazione dell’emissione di luce verso l’alto</w:t>
      </w:r>
      <w:r w:rsidRPr="00736FA5">
        <w:t xml:space="preserve"> dagli apparecchi, assumendo un valore tipico della linea di base HPS del 2% (notare che questo rappresenta un aumento delle prime due tabelle con il 0%). La linea di base è rappresentata dalla linea rossa tratteggiata valore normalizzato di 1.0.</w:t>
      </w:r>
    </w:p>
    <w:p w:rsidR="00C43629" w:rsidRDefault="00C43629">
      <w:r>
        <w:br w:type="page"/>
      </w:r>
    </w:p>
    <w:p w:rsidR="009B47BD" w:rsidRDefault="00F17259" w:rsidP="009B47BD">
      <w:pPr>
        <w:pStyle w:val="Titolo1"/>
      </w:pPr>
      <w:r>
        <w:lastRenderedPageBreak/>
        <w:t>Analisi dei</w:t>
      </w:r>
      <w:r w:rsidR="009B47BD" w:rsidRPr="009B47BD">
        <w:t xml:space="preserve"> risultati</w:t>
      </w:r>
    </w:p>
    <w:p w:rsidR="009B47BD" w:rsidRDefault="009B47BD" w:rsidP="005170B0">
      <w:r w:rsidRPr="009B47BD">
        <w:t>È possibile trarre diverse conclusioni utili per ciascun elemento contributivo modellato in questo studio.</w:t>
      </w:r>
    </w:p>
    <w:p w:rsidR="009B47BD" w:rsidRDefault="009B47BD" w:rsidP="009B47BD">
      <w:pPr>
        <w:pStyle w:val="Titolo2"/>
      </w:pPr>
      <w:r w:rsidRPr="009B47BD">
        <w:t>8.1 Uscita luminosa</w:t>
      </w:r>
    </w:p>
    <w:p w:rsidR="009B47BD" w:rsidRDefault="009B47BD" w:rsidP="009B47BD">
      <w:pPr>
        <w:pStyle w:val="Paragrafoelenco"/>
        <w:numPr>
          <w:ilvl w:val="0"/>
          <w:numId w:val="23"/>
        </w:numPr>
      </w:pPr>
      <w:r w:rsidRPr="009B47BD">
        <w:t xml:space="preserve">Il rapporto tra la luce e la luminosità del cielo è lineare; i livelli di aumento o diminuzione dei livelli di uscita </w:t>
      </w:r>
      <w:r>
        <w:t>dell'apparecchio corrispondono uno ad uno per il</w:t>
      </w:r>
      <w:r w:rsidRPr="009B47BD">
        <w:t xml:space="preserve"> contribut</w:t>
      </w:r>
      <w:r>
        <w:t>o che ne deriva per il chiarore</w:t>
      </w:r>
      <w:r w:rsidRPr="009B47BD">
        <w:t xml:space="preserve"> del cielo </w:t>
      </w:r>
      <w:r>
        <w:t xml:space="preserve">provocato </w:t>
      </w:r>
      <w:r w:rsidRPr="009B47BD">
        <w:t>dal sistema di illuminazione stradale. L'emission</w:t>
      </w:r>
      <w:r>
        <w:t>e luminosa e quindi il target</w:t>
      </w:r>
      <w:r w:rsidRPr="009B47BD">
        <w:t xml:space="preserve"> dei livelli di luce sul suolo e la loro variazione sia spazia</w:t>
      </w:r>
      <w:r>
        <w:t>le (ad esempio tra le aree delle strade</w:t>
      </w:r>
      <w:r w:rsidRPr="009B47BD">
        <w:t xml:space="preserve"> e quelle </w:t>
      </w:r>
      <w:r>
        <w:t>esterne</w:t>
      </w:r>
      <w:r w:rsidRPr="009B47BD">
        <w:t>)</w:t>
      </w:r>
      <w:r>
        <w:t>,</w:t>
      </w:r>
      <w:r w:rsidRPr="009B47BD">
        <w:t xml:space="preserve"> sia temporaneamente durante una serata sono strumenti po</w:t>
      </w:r>
      <w:r>
        <w:t>tenti per affrontare il chiarore</w:t>
      </w:r>
      <w:r w:rsidRPr="009B47BD">
        <w:t xml:space="preserve"> del ci</w:t>
      </w:r>
      <w:r>
        <w:t>elo ed il suo impatto</w:t>
      </w:r>
      <w:r w:rsidRPr="009B47BD">
        <w:t>.</w:t>
      </w:r>
    </w:p>
    <w:p w:rsidR="009B47BD" w:rsidRDefault="009B47BD" w:rsidP="009B47BD">
      <w:pPr>
        <w:pStyle w:val="Paragrafoelenco"/>
      </w:pPr>
    </w:p>
    <w:p w:rsidR="009B47BD" w:rsidRPr="00E9743F" w:rsidRDefault="009B47BD" w:rsidP="00374603">
      <w:pPr>
        <w:pStyle w:val="Titolo2"/>
      </w:pPr>
      <w:r w:rsidRPr="00E9743F">
        <w:t>8.2 Percentuale di luce diretta in alto</w:t>
      </w:r>
    </w:p>
    <w:p w:rsidR="009B47BD" w:rsidRPr="00E9743F" w:rsidRDefault="009B47BD" w:rsidP="009B47BD">
      <w:pPr>
        <w:pStyle w:val="Paragrafoelenco"/>
        <w:numPr>
          <w:ilvl w:val="0"/>
          <w:numId w:val="24"/>
        </w:numPr>
      </w:pPr>
      <w:r w:rsidRPr="00E9743F">
        <w:t xml:space="preserve">Per un osservatore vicino in condizioni </w:t>
      </w:r>
      <w:r w:rsidR="000F28CA" w:rsidRPr="00E9743F">
        <w:t xml:space="preserve">di cielo </w:t>
      </w:r>
      <w:r w:rsidRPr="00E9743F">
        <w:t>chiar</w:t>
      </w:r>
      <w:r w:rsidR="000F28CA" w:rsidRPr="00E9743F">
        <w:t>o</w:t>
      </w:r>
      <w:r w:rsidRPr="00E9743F">
        <w:t xml:space="preserve">, una riduzione da qualsiasi livello </w:t>
      </w:r>
      <w:r w:rsidR="000F28CA" w:rsidRPr="00E9743F">
        <w:t xml:space="preserve">di luce diretta in alto </w:t>
      </w:r>
      <w:r w:rsidRPr="00E9743F">
        <w:t xml:space="preserve">a 0% riduce significativamente il </w:t>
      </w:r>
      <w:r w:rsidR="000F28CA" w:rsidRPr="00E9743F">
        <w:t>chiarore</w:t>
      </w:r>
      <w:r w:rsidRPr="00E9743F">
        <w:t xml:space="preserve"> del cielo. Per gli osservatori lontani, il </w:t>
      </w:r>
      <w:r w:rsidR="000F28CA" w:rsidRPr="00E9743F">
        <w:t>chiarore</w:t>
      </w:r>
      <w:r w:rsidRPr="00E9743F">
        <w:t xml:space="preserve"> viene rapidamente attenuato all'altezza del</w:t>
      </w:r>
      <w:r w:rsidR="000F28CA" w:rsidRPr="00E9743F">
        <w:t>lo</w:t>
      </w:r>
      <w:r w:rsidRPr="00E9743F">
        <w:t xml:space="preserve"> 0% (anche se una cupola leggera in direzione della città può ancora essere visibile).</w:t>
      </w:r>
    </w:p>
    <w:p w:rsidR="009B47BD" w:rsidRPr="00E9743F" w:rsidRDefault="009B47BD" w:rsidP="009B47BD">
      <w:pPr>
        <w:pStyle w:val="Paragrafoelenco"/>
        <w:numPr>
          <w:ilvl w:val="0"/>
          <w:numId w:val="24"/>
        </w:numPr>
      </w:pPr>
      <w:r w:rsidRPr="00E9743F">
        <w:t xml:space="preserve">In condizioni poco nuvolose, l'osservatore vicino vede un maggior </w:t>
      </w:r>
      <w:r w:rsidR="00226FB8" w:rsidRPr="00E9743F">
        <w:t>chiarore</w:t>
      </w:r>
      <w:r w:rsidRPr="00E9743F">
        <w:t xml:space="preserve"> di cielo contribuito dalla luce riflessa che da una luce emessa a piccoli angoli al di sopra del piano orizzontale. Ciò è dovuto al fatto che </w:t>
      </w:r>
      <w:r w:rsidR="00226FB8" w:rsidRPr="00E9743F">
        <w:t>la luce diretta in alto</w:t>
      </w:r>
      <w:r w:rsidRPr="00E9743F">
        <w:t xml:space="preserve"> tende a uscire dall'area prima di contribuire a un grande </w:t>
      </w:r>
      <w:r w:rsidR="00226FB8" w:rsidRPr="00E9743F">
        <w:t>chiarore</w:t>
      </w:r>
      <w:r w:rsidRPr="00E9743F">
        <w:t xml:space="preserve"> di cielo all'area </w:t>
      </w:r>
      <w:r w:rsidR="00226FB8" w:rsidRPr="00E9743F">
        <w:t>vicina</w:t>
      </w:r>
      <w:r w:rsidRPr="00E9743F">
        <w:t>, mentre la luce riflessa</w:t>
      </w:r>
      <w:r w:rsidR="00226FB8" w:rsidRPr="00E9743F">
        <w:t xml:space="preserve"> dal basso</w:t>
      </w:r>
      <w:r w:rsidRPr="00E9743F">
        <w:t xml:space="preserve"> è sostanzialmente intrappolata nell'area tra </w:t>
      </w:r>
      <w:r w:rsidR="00226FB8" w:rsidRPr="00E9743F">
        <w:t>il terreno</w:t>
      </w:r>
      <w:r w:rsidRPr="00E9743F">
        <w:t xml:space="preserve"> e </w:t>
      </w:r>
      <w:r w:rsidR="00226FB8" w:rsidRPr="00E9743F">
        <w:t xml:space="preserve">lo strato </w:t>
      </w:r>
      <w:r w:rsidRPr="00E9743F">
        <w:t>nuvol</w:t>
      </w:r>
      <w:r w:rsidR="00226FB8" w:rsidRPr="00E9743F">
        <w:t>oso</w:t>
      </w:r>
      <w:r w:rsidRPr="00E9743F">
        <w:t>.</w:t>
      </w:r>
    </w:p>
    <w:p w:rsidR="009B47BD" w:rsidRPr="00E9743F" w:rsidRDefault="009B47BD" w:rsidP="009B47BD">
      <w:pPr>
        <w:pStyle w:val="Paragrafoelenco"/>
        <w:numPr>
          <w:ilvl w:val="0"/>
          <w:numId w:val="24"/>
        </w:numPr>
      </w:pPr>
      <w:r w:rsidRPr="00E9743F">
        <w:t xml:space="preserve">In condizioni </w:t>
      </w:r>
      <w:r w:rsidR="00226FB8" w:rsidRPr="00E9743F">
        <w:t>di cielo chiaro</w:t>
      </w:r>
      <w:r w:rsidRPr="00E9743F">
        <w:t>, il passaggio da</w:t>
      </w:r>
      <w:r w:rsidR="00E9743F" w:rsidRPr="00E9743F">
        <w:t>l</w:t>
      </w:r>
      <w:r w:rsidRPr="00E9743F">
        <w:t xml:space="preserve"> 10% a</w:t>
      </w:r>
      <w:r w:rsidR="00E9743F" w:rsidRPr="00E9743F">
        <w:t>l</w:t>
      </w:r>
      <w:r w:rsidRPr="00E9743F">
        <w:t xml:space="preserve"> 5% di</w:t>
      </w:r>
      <w:r w:rsidR="00E9743F" w:rsidRPr="00E9743F">
        <w:t xml:space="preserve"> luce diretta in alto </w:t>
      </w:r>
      <w:r w:rsidRPr="00E9743F">
        <w:t>ha meno impatto rispetto alla transizione dal 5% allo 0%, il che significa che il maggior impatto proviene dalla transizione a nessun uplight.</w:t>
      </w:r>
    </w:p>
    <w:p w:rsidR="00E9743F" w:rsidRPr="00E9743F" w:rsidRDefault="00E9743F" w:rsidP="00E9743F">
      <w:pPr>
        <w:ind w:left="360"/>
      </w:pPr>
    </w:p>
    <w:p w:rsidR="009B47BD" w:rsidRPr="00E9743F" w:rsidRDefault="009B47BD" w:rsidP="00374603">
      <w:pPr>
        <w:pStyle w:val="Titolo2"/>
      </w:pPr>
      <w:r w:rsidRPr="00E9743F">
        <w:t xml:space="preserve">8.3 Distribuzione </w:t>
      </w:r>
      <w:r w:rsidR="00E9743F" w:rsidRPr="00E9743F">
        <w:t>spettrale della</w:t>
      </w:r>
      <w:r w:rsidRPr="00E9743F">
        <w:t xml:space="preserve"> pot</w:t>
      </w:r>
      <w:r w:rsidR="00E9743F" w:rsidRPr="00E9743F">
        <w:t>enza</w:t>
      </w:r>
    </w:p>
    <w:p w:rsidR="009B47BD" w:rsidRPr="00E9743F" w:rsidRDefault="009B47BD" w:rsidP="00E9743F">
      <w:pPr>
        <w:pStyle w:val="Paragrafoelenco"/>
        <w:numPr>
          <w:ilvl w:val="0"/>
          <w:numId w:val="25"/>
        </w:numPr>
      </w:pPr>
      <w:r w:rsidRPr="00E9743F">
        <w:t>Le sorgenti luminose che emettono</w:t>
      </w:r>
      <w:r w:rsidR="00E9743F" w:rsidRPr="00E9743F">
        <w:t xml:space="preserve"> i</w:t>
      </w:r>
      <w:r w:rsidRPr="00E9743F">
        <w:t xml:space="preserve"> livelli più elevati di energia a lunghezz</w:t>
      </w:r>
      <w:r w:rsidR="00E9743F" w:rsidRPr="00E9743F">
        <w:t>e</w:t>
      </w:r>
      <w:r w:rsidRPr="00E9743F">
        <w:t xml:space="preserve"> d'onda </w:t>
      </w:r>
      <w:r w:rsidR="00E9743F" w:rsidRPr="00E9743F">
        <w:t>brevi,</w:t>
      </w:r>
      <w:r w:rsidRPr="00E9743F">
        <w:t xml:space="preserve"> sperimentano più dispersione / attenuazione nell'atmosfera fino a quando quelle lunghezze d'onda sono esaurite. Ponderando in modo scotopico</w:t>
      </w:r>
      <w:r w:rsidR="00E9743F" w:rsidRPr="00E9743F">
        <w:t>,</w:t>
      </w:r>
      <w:r w:rsidRPr="00E9743F">
        <w:t xml:space="preserve"> i risultati </w:t>
      </w:r>
      <w:r w:rsidR="00E9743F" w:rsidRPr="00E9743F">
        <w:t>enfatizzano</w:t>
      </w:r>
      <w:r w:rsidRPr="00E9743F">
        <w:t xml:space="preserve"> il contenuto </w:t>
      </w:r>
      <w:r w:rsidR="00E9743F" w:rsidRPr="00E9743F">
        <w:t>di lunghezze d'onda brevi</w:t>
      </w:r>
      <w:r w:rsidRPr="00E9743F">
        <w:t xml:space="preserve"> centrato sulla massima sensibilità scotopica di 507 nm. Le lunghezze d'onda </w:t>
      </w:r>
      <w:r w:rsidR="00E9743F" w:rsidRPr="00E9743F">
        <w:t xml:space="preserve">maggiori </w:t>
      </w:r>
      <w:r w:rsidRPr="00E9743F">
        <w:t>tendono a viaggiare più in là e quindi hanno più impatto sul bagliore del cielo per gli osservatori lontani.</w:t>
      </w:r>
    </w:p>
    <w:p w:rsidR="009B47BD" w:rsidRPr="00E9743F" w:rsidRDefault="009B47BD" w:rsidP="00E9743F">
      <w:pPr>
        <w:pStyle w:val="Paragrafoelenco"/>
        <w:numPr>
          <w:ilvl w:val="0"/>
          <w:numId w:val="25"/>
        </w:numPr>
      </w:pPr>
      <w:r w:rsidRPr="00E9743F">
        <w:t>I contenuti aerosol più alti tendono a ridurre queste differenze tra le lunghezze d'onda corte e lunghe per la distanza in quanto spargono e attenuano più uniformemente le lunghezze d'onda.</w:t>
      </w:r>
    </w:p>
    <w:p w:rsidR="00E9743F" w:rsidRPr="00E9743F" w:rsidRDefault="00E9743F" w:rsidP="00E9743F"/>
    <w:p w:rsidR="009B47BD" w:rsidRPr="008B5BD3" w:rsidRDefault="009B47BD" w:rsidP="00374603">
      <w:pPr>
        <w:pStyle w:val="Titolo2"/>
      </w:pPr>
      <w:r w:rsidRPr="008B5BD3">
        <w:t>8.4 Condizioni atmosferiche</w:t>
      </w:r>
    </w:p>
    <w:p w:rsidR="009B47BD" w:rsidRPr="008B5BD3" w:rsidRDefault="009B47BD" w:rsidP="00E9743F">
      <w:pPr>
        <w:pStyle w:val="Paragrafoelenco"/>
        <w:numPr>
          <w:ilvl w:val="0"/>
          <w:numId w:val="25"/>
        </w:numPr>
      </w:pPr>
      <w:r w:rsidRPr="008B5BD3">
        <w:t xml:space="preserve">Le condizioni di nuvoloso hanno un grande impatto potenziale sul bagliore del cielo nell'area della città definita. Le nuvole riflettono, trasmettono o assorbono tutte le lunghezze d'onda della luce abbastanza uniformemente e la diffusione risultante della luce riflessa contribuisce al </w:t>
      </w:r>
      <w:r w:rsidR="00E9743F" w:rsidRPr="008B5BD3">
        <w:t>chiarore</w:t>
      </w:r>
      <w:r w:rsidRPr="008B5BD3">
        <w:t xml:space="preserve"> </w:t>
      </w:r>
      <w:r w:rsidR="00E9743F" w:rsidRPr="008B5BD3">
        <w:t xml:space="preserve">localizzato </w:t>
      </w:r>
      <w:r w:rsidRPr="008B5BD3">
        <w:t xml:space="preserve">del cielo. Le nuvole impediscono alla luce di raggiungere un osservatore distante, anche se lunghezze d'onda </w:t>
      </w:r>
      <w:r w:rsidR="00E9743F" w:rsidRPr="008B5BD3">
        <w:t>maggiori</w:t>
      </w:r>
      <w:r w:rsidRPr="008B5BD3">
        <w:t xml:space="preserve"> continuano a propagarsi più </w:t>
      </w:r>
      <w:r w:rsidR="00E9743F" w:rsidRPr="008B5BD3">
        <w:t>lontano rispetto alle</w:t>
      </w:r>
      <w:r w:rsidRPr="008B5BD3">
        <w:t xml:space="preserve"> lunghezze d'onda</w:t>
      </w:r>
      <w:r w:rsidR="00E9743F" w:rsidRPr="008B5BD3">
        <w:t xml:space="preserve"> più corte</w:t>
      </w:r>
      <w:r w:rsidRPr="008B5BD3">
        <w:t>.</w:t>
      </w:r>
    </w:p>
    <w:p w:rsidR="009B47BD" w:rsidRPr="00411845" w:rsidRDefault="009B47BD" w:rsidP="00E9743F">
      <w:pPr>
        <w:pStyle w:val="Paragrafoelenco"/>
        <w:numPr>
          <w:ilvl w:val="0"/>
          <w:numId w:val="25"/>
        </w:numPr>
      </w:pPr>
      <w:r w:rsidRPr="00411845">
        <w:t xml:space="preserve">Le </w:t>
      </w:r>
      <w:r w:rsidR="00E9743F" w:rsidRPr="00411845">
        <w:t>condizioni di cielo chiaro</w:t>
      </w:r>
      <w:r w:rsidRPr="00411845">
        <w:t xml:space="preserve"> causano più dispersione e attenua</w:t>
      </w:r>
      <w:r w:rsidR="00E9743F" w:rsidRPr="00411845">
        <w:t>zione di lunghezze d'onda brevi</w:t>
      </w:r>
      <w:r w:rsidRPr="00411845">
        <w:t xml:space="preserve"> </w:t>
      </w:r>
      <w:r w:rsidR="00E9743F" w:rsidRPr="00411845">
        <w:t>rispetto a quelle maggiori</w:t>
      </w:r>
      <w:r w:rsidRPr="00411845">
        <w:t>; per un osservatore locale questo significa un bagliore potenzialmente più "blu" della SPD della sorgente originale, ma significa anche che le lunghezze d'onda più corte s</w:t>
      </w:r>
      <w:r w:rsidR="00411845" w:rsidRPr="00411845">
        <w:t>i</w:t>
      </w:r>
      <w:r w:rsidRPr="00411845">
        <w:t xml:space="preserve"> esauri</w:t>
      </w:r>
      <w:r w:rsidR="00411845" w:rsidRPr="00411845">
        <w:t>scono prima</w:t>
      </w:r>
      <w:r w:rsidRPr="00411845">
        <w:t xml:space="preserve"> </w:t>
      </w:r>
      <w:r w:rsidR="00411845" w:rsidRPr="00411845">
        <w:t>nel</w:t>
      </w:r>
      <w:r w:rsidRPr="00411845">
        <w:t xml:space="preserve"> fascio proiettato </w:t>
      </w:r>
      <w:r w:rsidR="00411845" w:rsidRPr="00411845">
        <w:t>rispetto alle lunghezze d'onda maggiori</w:t>
      </w:r>
      <w:r w:rsidRPr="00411845">
        <w:t xml:space="preserve">. Le lunghezze d'onda </w:t>
      </w:r>
      <w:r w:rsidR="00411845" w:rsidRPr="00411845">
        <w:t>maggiori</w:t>
      </w:r>
      <w:r w:rsidRPr="00411845">
        <w:t xml:space="preserve"> influenzano così </w:t>
      </w:r>
      <w:r w:rsidR="00411845" w:rsidRPr="00411845">
        <w:t xml:space="preserve">di più </w:t>
      </w:r>
      <w:r w:rsidRPr="00411845">
        <w:t>il cielo per gli osservato</w:t>
      </w:r>
      <w:r w:rsidR="00411845" w:rsidRPr="00411845">
        <w:t>ri lontani, in condizioni di sereno</w:t>
      </w:r>
      <w:r w:rsidRPr="00411845">
        <w:t>. (Poiché questo studio ha modellato solo a una distanza di 40 km, in questi risultati non appare la piena attenuazione di lunghezze d'onda più corte, anche se la tendenza è già evidente nella Figura 16.)</w:t>
      </w:r>
    </w:p>
    <w:p w:rsidR="009B47BD" w:rsidRDefault="009B47BD" w:rsidP="005170B0"/>
    <w:p w:rsidR="009B47BD" w:rsidRDefault="009B47BD">
      <w:r>
        <w:br w:type="page"/>
      </w:r>
    </w:p>
    <w:p w:rsidR="009B47BD" w:rsidRDefault="009B47BD" w:rsidP="005170B0"/>
    <w:p w:rsidR="00374603" w:rsidRDefault="009B47BD" w:rsidP="00374603">
      <w:pPr>
        <w:pStyle w:val="Titolo2"/>
      </w:pPr>
      <w:r w:rsidRPr="009B47BD">
        <w:t xml:space="preserve">8.5 </w:t>
      </w:r>
      <w:r w:rsidR="00374603">
        <w:t>Le c</w:t>
      </w:r>
      <w:r w:rsidRPr="009B47BD">
        <w:t>aratteristiche della città</w:t>
      </w:r>
    </w:p>
    <w:p w:rsidR="00374603" w:rsidRDefault="009B47BD" w:rsidP="00374603">
      <w:pPr>
        <w:pStyle w:val="Paragrafoelenco"/>
        <w:numPr>
          <w:ilvl w:val="0"/>
          <w:numId w:val="25"/>
        </w:numPr>
      </w:pPr>
      <w:r w:rsidRPr="009B47BD">
        <w:t xml:space="preserve">In questo studio, l'area della città e la densità di illuminazione sono stati i principali fattori di produzione totale della luce e </w:t>
      </w:r>
      <w:r w:rsidR="00374603">
        <w:t>il chiarore</w:t>
      </w:r>
      <w:r w:rsidRPr="009B47BD">
        <w:t xml:space="preserve"> del cielo associato</w:t>
      </w:r>
      <w:r w:rsidR="00374603">
        <w:t>,</w:t>
      </w:r>
      <w:r w:rsidRPr="009B47BD">
        <w:t xml:space="preserve"> specificamente connessi alle caratteristiche della città, anche se questo studio non ha considerato le città geografiche complesse (invece semplificando ciascuna di esse in un layout circolare). </w:t>
      </w:r>
      <w:r w:rsidRPr="00374603">
        <w:rPr>
          <w:b/>
          <w:color w:val="C00000"/>
        </w:rPr>
        <w:t>Ridurre la densità dell'illuminazione eliminando gli apparecchi non necessari è un approccio che le città potrebbero perseguire per ridurre il bagliore del cielo.</w:t>
      </w:r>
    </w:p>
    <w:p w:rsidR="00374603" w:rsidRDefault="00374603" w:rsidP="005170B0"/>
    <w:p w:rsidR="00374603" w:rsidRDefault="009B47BD" w:rsidP="00374603">
      <w:pPr>
        <w:pStyle w:val="Titolo2"/>
      </w:pPr>
      <w:r w:rsidRPr="009B47BD">
        <w:t>8.6 Effetti combinati</w:t>
      </w:r>
    </w:p>
    <w:p w:rsidR="00374603" w:rsidRDefault="009B47BD" w:rsidP="00374603">
      <w:pPr>
        <w:pStyle w:val="Paragrafoelenco"/>
        <w:numPr>
          <w:ilvl w:val="0"/>
          <w:numId w:val="27"/>
        </w:numPr>
      </w:pPr>
      <w:r w:rsidRPr="009B47BD">
        <w:t>La transizione a nessun</w:t>
      </w:r>
      <w:r w:rsidR="00374603">
        <w:t>a luce diretta in alto</w:t>
      </w:r>
      <w:r w:rsidRPr="009B47BD">
        <w:t xml:space="preserve"> rimuove </w:t>
      </w:r>
      <w:r w:rsidR="009F701A" w:rsidRPr="009B47BD">
        <w:t xml:space="preserve">quasi </w:t>
      </w:r>
      <w:r w:rsidR="009F701A">
        <w:t xml:space="preserve">completamente </w:t>
      </w:r>
      <w:r w:rsidRPr="009B47BD">
        <w:t>il contributo dell'illuminazione stradale al bagliore di cielo per l'osservatore lontano (almeno del 95%), per tutti i prodotti e le condizioni atmosferiche.</w:t>
      </w:r>
      <w:r w:rsidRPr="009F701A">
        <w:rPr>
          <w:vertAlign w:val="superscript"/>
        </w:rPr>
        <w:t>35</w:t>
      </w:r>
    </w:p>
    <w:p w:rsidR="00374603" w:rsidRDefault="009B47BD" w:rsidP="00374603">
      <w:pPr>
        <w:pStyle w:val="Paragrafoelenco"/>
        <w:numPr>
          <w:ilvl w:val="0"/>
          <w:numId w:val="27"/>
        </w:numPr>
      </w:pPr>
      <w:r w:rsidRPr="009B47BD">
        <w:t xml:space="preserve">Per un osservatore vicino, su una base non ponderata, le conversioni tipiche di LED che includono una riduzione del 50% della produzione di lumen e l'eliminazione della luce </w:t>
      </w:r>
      <w:r w:rsidR="009F701A">
        <w:t>verso l’alto</w:t>
      </w:r>
      <w:r w:rsidRPr="009B47BD">
        <w:t xml:space="preserve"> riducono notevolmente il bagliore del cielo rispetto ad un inc</w:t>
      </w:r>
      <w:r w:rsidR="009F701A">
        <w:t>o</w:t>
      </w:r>
      <w:r w:rsidRPr="009B47BD">
        <w:t>mbent</w:t>
      </w:r>
      <w:r w:rsidR="009F701A">
        <w:t>e</w:t>
      </w:r>
      <w:r w:rsidRPr="009B47BD">
        <w:t xml:space="preserve"> HPS che </w:t>
      </w:r>
      <w:r w:rsidR="00FD1F90">
        <w:t>sviluppa il 2% di luce direta in alto</w:t>
      </w:r>
      <w:r w:rsidRPr="009B47BD">
        <w:t xml:space="preserve">. </w:t>
      </w:r>
      <w:r w:rsidR="00FD1F90">
        <w:t>Il p</w:t>
      </w:r>
      <w:r w:rsidRPr="009B47BD">
        <w:t xml:space="preserve">unteggio scotopico dei risultati riduce il numero di prodotti che possono </w:t>
      </w:r>
      <w:r w:rsidR="00FD1F90">
        <w:t>ottenere questi risultati</w:t>
      </w:r>
      <w:r w:rsidRPr="009B47BD">
        <w:t>.</w:t>
      </w:r>
    </w:p>
    <w:p w:rsidR="00374603" w:rsidRDefault="009B47BD" w:rsidP="00374603">
      <w:pPr>
        <w:pStyle w:val="Paragrafoelenco"/>
        <w:numPr>
          <w:ilvl w:val="0"/>
          <w:numId w:val="27"/>
        </w:numPr>
      </w:pPr>
      <w:r w:rsidRPr="009B47BD">
        <w:t xml:space="preserve">Le città possono utilizzare la conoscenza degli effetti combinati per bilanciare le conversioni della luce stradale e le nuove installazioni di illuminazione stradale per mantenere i livelli attuali del </w:t>
      </w:r>
      <w:r w:rsidR="00FD1F90">
        <w:t>chiarore</w:t>
      </w:r>
      <w:r w:rsidRPr="009B47BD">
        <w:t xml:space="preserve"> del cielo o ridurre il </w:t>
      </w:r>
      <w:r w:rsidR="00FD1F90">
        <w:t>chiarore</w:t>
      </w:r>
      <w:r w:rsidRPr="009B47BD">
        <w:t xml:space="preserve"> totale nel tempo.</w:t>
      </w:r>
      <w:r w:rsidR="00374603">
        <w:t xml:space="preserve"> </w:t>
      </w:r>
    </w:p>
    <w:p w:rsidR="00374603" w:rsidRDefault="00374603" w:rsidP="008B14E2">
      <w:pPr>
        <w:pBdr>
          <w:bottom w:val="single" w:sz="6" w:space="13" w:color="auto"/>
        </w:pBdr>
      </w:pPr>
    </w:p>
    <w:p w:rsidR="008B14E2" w:rsidRDefault="008B14E2" w:rsidP="008B14E2">
      <w:pPr>
        <w:pBdr>
          <w:bottom w:val="single" w:sz="6" w:space="13" w:color="auto"/>
        </w:pBdr>
      </w:pPr>
    </w:p>
    <w:p w:rsidR="008B14E2" w:rsidRDefault="008B14E2" w:rsidP="008B14E2">
      <w:pPr>
        <w:pBdr>
          <w:bottom w:val="single" w:sz="6" w:space="13" w:color="auto"/>
        </w:pBdr>
      </w:pP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43078</wp:posOffset>
                </wp:positionH>
                <wp:positionV relativeFrom="paragraph">
                  <wp:posOffset>316599</wp:posOffset>
                </wp:positionV>
                <wp:extent cx="3623945" cy="8255"/>
                <wp:effectExtent l="0" t="0" r="33655" b="29845"/>
                <wp:wrapNone/>
                <wp:docPr id="28" name="Connettore diritto 28"/>
                <wp:cNvGraphicFramePr/>
                <a:graphic xmlns:a="http://schemas.openxmlformats.org/drawingml/2006/main">
                  <a:graphicData uri="http://schemas.microsoft.com/office/word/2010/wordprocessingShape">
                    <wps:wsp>
                      <wps:cNvCnPr/>
                      <wps:spPr>
                        <a:xfrm>
                          <a:off x="0" y="0"/>
                          <a:ext cx="3623945" cy="8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6E62D9" id="Connettore diritto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pt,24.95pt" to="288.7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" strokecolor="black [3213]" strokeweight=".5pt">
                <v:stroke joinstyle="miter"/>
              </v:line>
            </w:pict>
          </mc:Fallback>
        </mc:AlternateContent>
      </w:r>
    </w:p>
    <w:p w:rsidR="008B14E2" w:rsidRDefault="008B14E2" w:rsidP="008B14E2">
      <w:pPr>
        <w:pBdr>
          <w:bottom w:val="single" w:sz="6" w:space="13" w:color="auto"/>
        </w:pBdr>
      </w:pPr>
    </w:p>
    <w:p w:rsidR="009B47BD" w:rsidRDefault="009B47BD" w:rsidP="008B14E2">
      <w:pPr>
        <w:pBdr>
          <w:bottom w:val="single" w:sz="6" w:space="13" w:color="auto"/>
        </w:pBdr>
      </w:pPr>
      <w:r w:rsidRPr="009B47BD">
        <w:t>35 In termini di metrica orizzontale irradiata orizzontale (W / m2) tutto-cielo selezionato per l'uso in questa indagine.</w:t>
      </w: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rsidP="008B14E2">
      <w:pPr>
        <w:pBdr>
          <w:bottom w:val="single" w:sz="6" w:space="13" w:color="auto"/>
        </w:pBdr>
      </w:pPr>
    </w:p>
    <w:p w:rsidR="008F1079" w:rsidRDefault="008F1079"/>
    <w:p w:rsidR="00F40E1C" w:rsidRPr="00F40E1C" w:rsidRDefault="00F40E1C" w:rsidP="00F40E1C">
      <w:pPr>
        <w:pStyle w:val="Titolo1"/>
      </w:pPr>
      <w:r>
        <w:t>Altre considerazioni</w:t>
      </w:r>
    </w:p>
    <w:p w:rsidR="00F40E1C" w:rsidRDefault="00F40E1C" w:rsidP="00F40E1C">
      <w:r>
        <w:t>La sezione precedente è stata presentata senza alcuna preferenza implicita o considerazione dei fattori addizionali che possono su</w:t>
      </w:r>
      <w:r w:rsidRPr="00F40E1C">
        <w:t xml:space="preserve">pportare la selezione delle migliori caratteristiche di un sistema di illuminazione stradale per una data posizione. In una situazione reale, le scelte disponibili per i proprietari e gli utenti di un sistema di illuminazione stradale spesso comportano un mix di vantaggi e compromessi, di cui il </w:t>
      </w:r>
      <w:r w:rsidR="00343BBD">
        <w:t>chiarore</w:t>
      </w:r>
      <w:r w:rsidRPr="00F40E1C">
        <w:t xml:space="preserve"> del cielo è solo uno. Un certo numero di tali fattori deve essere pesato dal progettista del sistema in base alle condizioni specifiche del sito per trovare il migliore equilibrio tra di loro.</w:t>
      </w:r>
    </w:p>
    <w:p w:rsidR="00F40E1C" w:rsidRDefault="00F40E1C" w:rsidP="00F40E1C"/>
    <w:p w:rsidR="00F40E1C" w:rsidRPr="00F40E1C" w:rsidRDefault="00F40E1C" w:rsidP="00F40E1C">
      <w:pPr>
        <w:pStyle w:val="Titolo2"/>
      </w:pPr>
      <w:r w:rsidRPr="00F40E1C">
        <w:t xml:space="preserve">9.1 </w:t>
      </w:r>
      <w:r w:rsidR="00343BBD">
        <w:t>Uso dell’energia</w:t>
      </w:r>
      <w:r w:rsidRPr="00F40E1C">
        <w:t xml:space="preserve"> </w:t>
      </w:r>
    </w:p>
    <w:p w:rsidR="00D03E2F" w:rsidRDefault="00D03E2F" w:rsidP="00F40E1C">
      <w:r w:rsidRPr="00D03E2F">
        <w:t xml:space="preserve">Fino a non molto tempo fa, i LED </w:t>
      </w:r>
      <w:r>
        <w:t xml:space="preserve">a luce bianca calda </w:t>
      </w:r>
      <w:r w:rsidRPr="00D03E2F">
        <w:t xml:space="preserve">hanno mostrato un'efficacia significativamente inferiore rispetto ai LED bianco freddo a causa delle perdite di Stokes durante la conversione del fosforo dell'emissione di luce blu da parte del LED. In generale, maggiore è la quantità di conversione della luce blu da parte dei fosfori necessaria per produrre temperature di colore sempre più calde, maggiori sono le perdite associate. La differenza di efficacia tra gli apparecchi a LED da 3000 e 4000 K, ad esempio, ha raggiunto il 25% o più in passato, </w:t>
      </w:r>
      <w:r w:rsidRPr="00D03E2F">
        <w:rPr>
          <w:b/>
          <w:color w:val="0070C0"/>
        </w:rPr>
        <w:t>ma sta diminuendo nel tempo man mano che nuovi prodotti entrano nel mercato</w:t>
      </w:r>
      <w:r w:rsidRPr="00D03E2F">
        <w:t>. Questo cambiamento non è solo una funzione dei migliori materiali al fosforo, ma è anche dovuto allo sviluppo di approcci diversi che i produttori possono utilizzare per alterare il CCT che possono, ad esempio, preservare l'efficacia a scapito di alcune capacità di rendere i colori accuratamente.</w:t>
      </w:r>
    </w:p>
    <w:p w:rsidR="00D03E2F" w:rsidRDefault="00D03E2F" w:rsidP="00F40E1C"/>
    <w:p w:rsidR="00D03E2F" w:rsidRDefault="00D03E2F" w:rsidP="00F40E1C">
      <w:r w:rsidRPr="00D03E2F">
        <w:t>La Tabella 5 elen</w:t>
      </w:r>
      <w:r>
        <w:t xml:space="preserve">ca le prestazioni riportate dalle specifiche </w:t>
      </w:r>
      <w:r w:rsidRPr="00D03E2F">
        <w:t xml:space="preserve">di vari </w:t>
      </w:r>
      <w:r>
        <w:t>prodotti che sono stati raccolte</w:t>
      </w:r>
      <w:r w:rsidRPr="00D03E2F">
        <w:t xml:space="preserve"> dai siti Web dei produttori nel febbraio 2017. Ogni riga elenca un prodotto e le relative prestazioni riportate nei vari CCT in cui era disponibile in quel momento. L'informazione chiave in questa tabella è nella colonna finale, che rivela la penalità energetica in quel momento per ridurre la temperatura del colore da un valore al successivo (ad esempio, da 4000 a 3000 K o da 5000 a 4000 K).</w:t>
      </w:r>
    </w:p>
    <w:p w:rsidR="00D03E2F" w:rsidRPr="00D03E2F" w:rsidRDefault="00D03E2F" w:rsidP="00F40E1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30"/>
        <w:gridCol w:w="992"/>
        <w:gridCol w:w="850"/>
        <w:gridCol w:w="709"/>
        <w:gridCol w:w="709"/>
        <w:gridCol w:w="709"/>
        <w:gridCol w:w="567"/>
        <w:gridCol w:w="708"/>
        <w:gridCol w:w="709"/>
        <w:gridCol w:w="567"/>
        <w:gridCol w:w="858"/>
        <w:gridCol w:w="1127"/>
      </w:tblGrid>
      <w:tr w:rsidR="005D1617" w:rsidRPr="00F40E1C" w:rsidTr="00D03E2F">
        <w:trPr>
          <w:trHeight w:val="277"/>
        </w:trPr>
        <w:tc>
          <w:tcPr>
            <w:tcW w:w="10735" w:type="dxa"/>
            <w:gridSpan w:val="12"/>
          </w:tcPr>
          <w:p w:rsidR="005D1617" w:rsidRPr="00862086" w:rsidRDefault="005D1617" w:rsidP="00F40E1C">
            <w:pPr>
              <w:rPr>
                <w:sz w:val="20"/>
                <w:szCs w:val="20"/>
              </w:rPr>
            </w:pPr>
            <w:r w:rsidRPr="00862086">
              <w:rPr>
                <w:b/>
                <w:bCs/>
                <w:sz w:val="20"/>
                <w:szCs w:val="20"/>
              </w:rPr>
              <w:t xml:space="preserve">Table 5 Performance specifications, including power (W), light output (lm), and luminaire efficacy (lm/W) of similar make and model products available at different CCTs. Nominal CCT </w:t>
            </w:r>
          </w:p>
        </w:tc>
      </w:tr>
      <w:tr w:rsidR="005D1617" w:rsidRPr="00F40E1C" w:rsidTr="0087712C">
        <w:trPr>
          <w:trHeight w:val="152"/>
        </w:trPr>
        <w:tc>
          <w:tcPr>
            <w:tcW w:w="2230" w:type="dxa"/>
            <w:shd w:val="clear" w:color="auto" w:fill="E7E6E6" w:themeFill="background2"/>
          </w:tcPr>
          <w:p w:rsidR="005D1617" w:rsidRPr="00D03E2F" w:rsidRDefault="005D1617" w:rsidP="005D1617">
            <w:pPr>
              <w:jc w:val="center"/>
              <w:rPr>
                <w:sz w:val="20"/>
                <w:szCs w:val="20"/>
              </w:rPr>
            </w:pPr>
          </w:p>
        </w:tc>
        <w:tc>
          <w:tcPr>
            <w:tcW w:w="2551" w:type="dxa"/>
            <w:gridSpan w:val="3"/>
            <w:shd w:val="clear" w:color="auto" w:fill="E7E6E6" w:themeFill="background2"/>
          </w:tcPr>
          <w:p w:rsidR="005D1617" w:rsidRPr="00D03E2F" w:rsidRDefault="005D1617" w:rsidP="005D1617">
            <w:pPr>
              <w:jc w:val="center"/>
              <w:rPr>
                <w:sz w:val="20"/>
                <w:szCs w:val="20"/>
              </w:rPr>
            </w:pPr>
            <w:r w:rsidRPr="00D03E2F">
              <w:rPr>
                <w:b/>
                <w:bCs/>
                <w:sz w:val="20"/>
                <w:szCs w:val="20"/>
              </w:rPr>
              <w:t>3000 K</w:t>
            </w:r>
          </w:p>
        </w:tc>
        <w:tc>
          <w:tcPr>
            <w:tcW w:w="1985" w:type="dxa"/>
            <w:gridSpan w:val="3"/>
            <w:shd w:val="clear" w:color="auto" w:fill="E7E6E6" w:themeFill="background2"/>
          </w:tcPr>
          <w:p w:rsidR="005D1617" w:rsidRPr="00D03E2F" w:rsidRDefault="005D1617" w:rsidP="005D1617">
            <w:pPr>
              <w:jc w:val="center"/>
              <w:rPr>
                <w:sz w:val="20"/>
                <w:szCs w:val="20"/>
              </w:rPr>
            </w:pPr>
            <w:r w:rsidRPr="00D03E2F">
              <w:rPr>
                <w:b/>
                <w:bCs/>
                <w:sz w:val="20"/>
                <w:szCs w:val="20"/>
              </w:rPr>
              <w:t>4000 K</w:t>
            </w:r>
          </w:p>
        </w:tc>
        <w:tc>
          <w:tcPr>
            <w:tcW w:w="1984" w:type="dxa"/>
            <w:gridSpan w:val="3"/>
            <w:shd w:val="clear" w:color="auto" w:fill="E7E6E6" w:themeFill="background2"/>
          </w:tcPr>
          <w:p w:rsidR="005D1617" w:rsidRPr="00D03E2F" w:rsidRDefault="005D1617" w:rsidP="005D1617">
            <w:pPr>
              <w:jc w:val="center"/>
              <w:rPr>
                <w:sz w:val="20"/>
                <w:szCs w:val="20"/>
              </w:rPr>
            </w:pPr>
            <w:r w:rsidRPr="00D03E2F">
              <w:rPr>
                <w:b/>
                <w:bCs/>
                <w:sz w:val="20"/>
                <w:szCs w:val="20"/>
              </w:rPr>
              <w:t>5000 K</w:t>
            </w:r>
          </w:p>
        </w:tc>
        <w:tc>
          <w:tcPr>
            <w:tcW w:w="1985" w:type="dxa"/>
            <w:gridSpan w:val="2"/>
            <w:shd w:val="clear" w:color="auto" w:fill="E7E6E6" w:themeFill="background2"/>
          </w:tcPr>
          <w:p w:rsidR="005D1617" w:rsidRPr="00D03E2F" w:rsidRDefault="005D1617" w:rsidP="005D1617">
            <w:pPr>
              <w:jc w:val="center"/>
              <w:rPr>
                <w:sz w:val="20"/>
                <w:szCs w:val="20"/>
              </w:rPr>
            </w:pPr>
            <w:r w:rsidRPr="00D03E2F">
              <w:rPr>
                <w:b/>
                <w:bCs/>
                <w:sz w:val="20"/>
                <w:szCs w:val="20"/>
              </w:rPr>
              <w:t>Percent Change in Efficacy from</w:t>
            </w:r>
          </w:p>
        </w:tc>
      </w:tr>
      <w:tr w:rsidR="00F40E1C" w:rsidRPr="00F40E1C" w:rsidTr="0087712C">
        <w:trPr>
          <w:trHeight w:val="272"/>
        </w:trPr>
        <w:tc>
          <w:tcPr>
            <w:tcW w:w="2230" w:type="dxa"/>
            <w:shd w:val="clear" w:color="auto" w:fill="E7E6E6" w:themeFill="background2"/>
          </w:tcPr>
          <w:p w:rsidR="00F40E1C" w:rsidRPr="00D03E2F" w:rsidRDefault="00F40E1C" w:rsidP="00D03E2F">
            <w:pPr>
              <w:jc w:val="center"/>
              <w:rPr>
                <w:sz w:val="20"/>
                <w:szCs w:val="20"/>
              </w:rPr>
            </w:pPr>
            <w:r w:rsidRPr="00D03E2F">
              <w:rPr>
                <w:b/>
                <w:bCs/>
                <w:sz w:val="20"/>
                <w:szCs w:val="20"/>
              </w:rPr>
              <w:t>Manufacturer/Product</w:t>
            </w:r>
          </w:p>
        </w:tc>
        <w:tc>
          <w:tcPr>
            <w:tcW w:w="992" w:type="dxa"/>
            <w:shd w:val="clear" w:color="auto" w:fill="E7E6E6" w:themeFill="background2"/>
          </w:tcPr>
          <w:p w:rsidR="00F40E1C" w:rsidRPr="00D03E2F" w:rsidRDefault="00F40E1C" w:rsidP="00D03E2F">
            <w:pPr>
              <w:jc w:val="center"/>
              <w:rPr>
                <w:sz w:val="20"/>
                <w:szCs w:val="20"/>
              </w:rPr>
            </w:pPr>
            <w:r w:rsidRPr="00D03E2F">
              <w:rPr>
                <w:sz w:val="20"/>
                <w:szCs w:val="20"/>
              </w:rPr>
              <w:t>W</w:t>
            </w:r>
          </w:p>
        </w:tc>
        <w:tc>
          <w:tcPr>
            <w:tcW w:w="850" w:type="dxa"/>
            <w:shd w:val="clear" w:color="auto" w:fill="E7E6E6" w:themeFill="background2"/>
          </w:tcPr>
          <w:p w:rsidR="00F40E1C" w:rsidRPr="00D03E2F" w:rsidRDefault="00F40E1C" w:rsidP="00D03E2F">
            <w:pPr>
              <w:jc w:val="center"/>
              <w:rPr>
                <w:sz w:val="20"/>
                <w:szCs w:val="20"/>
              </w:rPr>
            </w:pPr>
            <w:r w:rsidRPr="00D03E2F">
              <w:rPr>
                <w:sz w:val="20"/>
                <w:szCs w:val="20"/>
              </w:rPr>
              <w:t>Lm</w:t>
            </w:r>
          </w:p>
        </w:tc>
        <w:tc>
          <w:tcPr>
            <w:tcW w:w="709" w:type="dxa"/>
            <w:shd w:val="clear" w:color="auto" w:fill="E7E6E6" w:themeFill="background2"/>
          </w:tcPr>
          <w:p w:rsidR="00F40E1C" w:rsidRPr="00D03E2F" w:rsidRDefault="00F40E1C" w:rsidP="00D03E2F">
            <w:pPr>
              <w:jc w:val="center"/>
              <w:rPr>
                <w:sz w:val="20"/>
                <w:szCs w:val="20"/>
              </w:rPr>
            </w:pPr>
            <w:r w:rsidRPr="00D03E2F">
              <w:rPr>
                <w:sz w:val="20"/>
                <w:szCs w:val="20"/>
              </w:rPr>
              <w:t>Lm/W</w:t>
            </w:r>
          </w:p>
        </w:tc>
        <w:tc>
          <w:tcPr>
            <w:tcW w:w="709" w:type="dxa"/>
            <w:shd w:val="clear" w:color="auto" w:fill="E7E6E6" w:themeFill="background2"/>
          </w:tcPr>
          <w:p w:rsidR="00F40E1C" w:rsidRPr="00D03E2F" w:rsidRDefault="00F40E1C" w:rsidP="00D03E2F">
            <w:pPr>
              <w:jc w:val="center"/>
              <w:rPr>
                <w:sz w:val="20"/>
                <w:szCs w:val="20"/>
              </w:rPr>
            </w:pPr>
            <w:r w:rsidRPr="00D03E2F">
              <w:rPr>
                <w:sz w:val="20"/>
                <w:szCs w:val="20"/>
              </w:rPr>
              <w:t>W</w:t>
            </w:r>
          </w:p>
        </w:tc>
        <w:tc>
          <w:tcPr>
            <w:tcW w:w="709" w:type="dxa"/>
            <w:shd w:val="clear" w:color="auto" w:fill="E7E6E6" w:themeFill="background2"/>
          </w:tcPr>
          <w:p w:rsidR="00F40E1C" w:rsidRPr="00D03E2F" w:rsidRDefault="00F40E1C" w:rsidP="00D03E2F">
            <w:pPr>
              <w:jc w:val="center"/>
              <w:rPr>
                <w:sz w:val="20"/>
                <w:szCs w:val="20"/>
              </w:rPr>
            </w:pPr>
            <w:r w:rsidRPr="00D03E2F">
              <w:rPr>
                <w:sz w:val="20"/>
                <w:szCs w:val="20"/>
              </w:rPr>
              <w:t>Lm</w:t>
            </w:r>
          </w:p>
        </w:tc>
        <w:tc>
          <w:tcPr>
            <w:tcW w:w="567" w:type="dxa"/>
            <w:shd w:val="clear" w:color="auto" w:fill="E7E6E6" w:themeFill="background2"/>
          </w:tcPr>
          <w:p w:rsidR="00F40E1C" w:rsidRPr="00D03E2F" w:rsidRDefault="00F40E1C" w:rsidP="00D03E2F">
            <w:pPr>
              <w:jc w:val="center"/>
              <w:rPr>
                <w:sz w:val="20"/>
                <w:szCs w:val="20"/>
              </w:rPr>
            </w:pPr>
            <w:r w:rsidRPr="00D03E2F">
              <w:rPr>
                <w:sz w:val="20"/>
                <w:szCs w:val="20"/>
              </w:rPr>
              <w:t>Lm/W</w:t>
            </w:r>
          </w:p>
        </w:tc>
        <w:tc>
          <w:tcPr>
            <w:tcW w:w="708" w:type="dxa"/>
            <w:shd w:val="clear" w:color="auto" w:fill="E7E6E6" w:themeFill="background2"/>
          </w:tcPr>
          <w:p w:rsidR="00F40E1C" w:rsidRPr="00D03E2F" w:rsidRDefault="00F40E1C" w:rsidP="00D03E2F">
            <w:pPr>
              <w:jc w:val="center"/>
              <w:rPr>
                <w:sz w:val="20"/>
                <w:szCs w:val="20"/>
              </w:rPr>
            </w:pPr>
            <w:r w:rsidRPr="00D03E2F">
              <w:rPr>
                <w:sz w:val="20"/>
                <w:szCs w:val="20"/>
              </w:rPr>
              <w:t>W</w:t>
            </w:r>
          </w:p>
        </w:tc>
        <w:tc>
          <w:tcPr>
            <w:tcW w:w="709" w:type="dxa"/>
            <w:shd w:val="clear" w:color="auto" w:fill="E7E6E6" w:themeFill="background2"/>
          </w:tcPr>
          <w:p w:rsidR="00F40E1C" w:rsidRPr="00D03E2F" w:rsidRDefault="00F40E1C" w:rsidP="00D03E2F">
            <w:pPr>
              <w:jc w:val="center"/>
              <w:rPr>
                <w:sz w:val="20"/>
                <w:szCs w:val="20"/>
              </w:rPr>
            </w:pPr>
            <w:r w:rsidRPr="00D03E2F">
              <w:rPr>
                <w:sz w:val="20"/>
                <w:szCs w:val="20"/>
              </w:rPr>
              <w:t>Lm</w:t>
            </w:r>
          </w:p>
        </w:tc>
        <w:tc>
          <w:tcPr>
            <w:tcW w:w="567" w:type="dxa"/>
            <w:shd w:val="clear" w:color="auto" w:fill="E7E6E6" w:themeFill="background2"/>
          </w:tcPr>
          <w:p w:rsidR="00F40E1C" w:rsidRPr="00D03E2F" w:rsidRDefault="00F40E1C" w:rsidP="00D03E2F">
            <w:pPr>
              <w:jc w:val="center"/>
              <w:rPr>
                <w:sz w:val="20"/>
                <w:szCs w:val="20"/>
              </w:rPr>
            </w:pPr>
            <w:r w:rsidRPr="00D03E2F">
              <w:rPr>
                <w:sz w:val="20"/>
                <w:szCs w:val="20"/>
              </w:rPr>
              <w:t>Lm/W</w:t>
            </w:r>
          </w:p>
        </w:tc>
        <w:tc>
          <w:tcPr>
            <w:tcW w:w="858" w:type="dxa"/>
            <w:shd w:val="clear" w:color="auto" w:fill="E7E6E6" w:themeFill="background2"/>
          </w:tcPr>
          <w:p w:rsidR="00F40E1C" w:rsidRPr="00D03E2F" w:rsidRDefault="00F40E1C" w:rsidP="00D03E2F">
            <w:pPr>
              <w:jc w:val="center"/>
              <w:rPr>
                <w:sz w:val="20"/>
                <w:szCs w:val="20"/>
              </w:rPr>
            </w:pPr>
            <w:r w:rsidRPr="00D03E2F">
              <w:rPr>
                <w:sz w:val="20"/>
                <w:szCs w:val="20"/>
              </w:rPr>
              <w:t>4000 K to 3000 K</w:t>
            </w:r>
          </w:p>
        </w:tc>
        <w:tc>
          <w:tcPr>
            <w:tcW w:w="1127" w:type="dxa"/>
            <w:shd w:val="clear" w:color="auto" w:fill="E7E6E6" w:themeFill="background2"/>
          </w:tcPr>
          <w:p w:rsidR="00F40E1C" w:rsidRPr="00D03E2F" w:rsidRDefault="00F40E1C" w:rsidP="00D03E2F">
            <w:pPr>
              <w:jc w:val="center"/>
              <w:rPr>
                <w:sz w:val="20"/>
                <w:szCs w:val="20"/>
              </w:rPr>
            </w:pPr>
            <w:r w:rsidRPr="00D03E2F">
              <w:rPr>
                <w:sz w:val="20"/>
                <w:szCs w:val="20"/>
              </w:rPr>
              <w:t>5000 K to 4000 K</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GE Lighting</w:t>
            </w:r>
            <w:r w:rsidR="005D1617" w:rsidRPr="00D03E2F">
              <w:rPr>
                <w:sz w:val="20"/>
                <w:szCs w:val="20"/>
              </w:rPr>
              <w:t xml:space="preserve"> </w:t>
            </w:r>
            <w:r w:rsidRPr="00862086">
              <w:rPr>
                <w:sz w:val="20"/>
                <w:szCs w:val="20"/>
                <w:vertAlign w:val="superscript"/>
              </w:rPr>
              <w:t>A</w:t>
            </w:r>
          </w:p>
        </w:tc>
        <w:tc>
          <w:tcPr>
            <w:tcW w:w="992" w:type="dxa"/>
          </w:tcPr>
          <w:p w:rsidR="00F40E1C" w:rsidRPr="00D03E2F" w:rsidRDefault="00F40E1C" w:rsidP="00D03E2F">
            <w:pPr>
              <w:jc w:val="center"/>
              <w:rPr>
                <w:sz w:val="20"/>
                <w:szCs w:val="20"/>
              </w:rPr>
            </w:pPr>
            <w:r w:rsidRPr="00D03E2F">
              <w:rPr>
                <w:sz w:val="20"/>
                <w:szCs w:val="20"/>
              </w:rPr>
              <w:t>15</w:t>
            </w:r>
          </w:p>
        </w:tc>
        <w:tc>
          <w:tcPr>
            <w:tcW w:w="850" w:type="dxa"/>
          </w:tcPr>
          <w:p w:rsidR="00F40E1C" w:rsidRPr="00D03E2F" w:rsidRDefault="00F40E1C" w:rsidP="00D03E2F">
            <w:pPr>
              <w:jc w:val="center"/>
              <w:rPr>
                <w:sz w:val="20"/>
                <w:szCs w:val="20"/>
              </w:rPr>
            </w:pPr>
            <w:r w:rsidRPr="00D03E2F">
              <w:rPr>
                <w:sz w:val="20"/>
                <w:szCs w:val="20"/>
              </w:rPr>
              <w:t>1900</w:t>
            </w:r>
          </w:p>
        </w:tc>
        <w:tc>
          <w:tcPr>
            <w:tcW w:w="709" w:type="dxa"/>
          </w:tcPr>
          <w:p w:rsidR="00F40E1C" w:rsidRPr="00D03E2F" w:rsidRDefault="00F40E1C" w:rsidP="00D03E2F">
            <w:pPr>
              <w:jc w:val="center"/>
              <w:rPr>
                <w:sz w:val="20"/>
                <w:szCs w:val="20"/>
              </w:rPr>
            </w:pPr>
            <w:r w:rsidRPr="00D03E2F">
              <w:rPr>
                <w:sz w:val="20"/>
                <w:szCs w:val="20"/>
              </w:rPr>
              <w:t>127</w:t>
            </w:r>
          </w:p>
        </w:tc>
        <w:tc>
          <w:tcPr>
            <w:tcW w:w="709" w:type="dxa"/>
          </w:tcPr>
          <w:p w:rsidR="00F40E1C" w:rsidRPr="00D03E2F" w:rsidRDefault="00F40E1C" w:rsidP="00D03E2F">
            <w:pPr>
              <w:jc w:val="center"/>
              <w:rPr>
                <w:sz w:val="20"/>
                <w:szCs w:val="20"/>
              </w:rPr>
            </w:pPr>
            <w:r w:rsidRPr="00D03E2F">
              <w:rPr>
                <w:sz w:val="20"/>
                <w:szCs w:val="20"/>
              </w:rPr>
              <w:t>15</w:t>
            </w:r>
          </w:p>
        </w:tc>
        <w:tc>
          <w:tcPr>
            <w:tcW w:w="709" w:type="dxa"/>
          </w:tcPr>
          <w:p w:rsidR="00F40E1C" w:rsidRPr="00D03E2F" w:rsidRDefault="00F40E1C" w:rsidP="00D03E2F">
            <w:pPr>
              <w:jc w:val="center"/>
              <w:rPr>
                <w:sz w:val="20"/>
                <w:szCs w:val="20"/>
              </w:rPr>
            </w:pPr>
            <w:r w:rsidRPr="00D03E2F">
              <w:rPr>
                <w:sz w:val="20"/>
                <w:szCs w:val="20"/>
              </w:rPr>
              <w:t>2000</w:t>
            </w:r>
          </w:p>
        </w:tc>
        <w:tc>
          <w:tcPr>
            <w:tcW w:w="567" w:type="dxa"/>
          </w:tcPr>
          <w:p w:rsidR="00F40E1C" w:rsidRPr="00862086" w:rsidRDefault="00F40E1C" w:rsidP="00D03E2F">
            <w:pPr>
              <w:jc w:val="center"/>
              <w:rPr>
                <w:b/>
                <w:sz w:val="20"/>
                <w:szCs w:val="20"/>
              </w:rPr>
            </w:pPr>
            <w:r w:rsidRPr="00862086">
              <w:rPr>
                <w:b/>
                <w:color w:val="538135" w:themeColor="accent6" w:themeShade="BF"/>
                <w:sz w:val="20"/>
                <w:szCs w:val="20"/>
              </w:rPr>
              <w:t>133</w:t>
            </w:r>
          </w:p>
        </w:tc>
        <w:tc>
          <w:tcPr>
            <w:tcW w:w="708" w:type="dxa"/>
          </w:tcPr>
          <w:p w:rsidR="00F40E1C" w:rsidRPr="00D03E2F" w:rsidRDefault="00F40E1C" w:rsidP="00D03E2F">
            <w:pPr>
              <w:jc w:val="center"/>
              <w:rPr>
                <w:sz w:val="20"/>
                <w:szCs w:val="20"/>
              </w:rPr>
            </w:pPr>
            <w:r w:rsidRPr="00D03E2F">
              <w:rPr>
                <w:sz w:val="20"/>
                <w:szCs w:val="20"/>
              </w:rPr>
              <w:t>N/A</w:t>
            </w:r>
          </w:p>
        </w:tc>
        <w:tc>
          <w:tcPr>
            <w:tcW w:w="709" w:type="dxa"/>
          </w:tcPr>
          <w:p w:rsidR="00F40E1C" w:rsidRPr="00D03E2F" w:rsidRDefault="00F40E1C" w:rsidP="00D03E2F">
            <w:pPr>
              <w:jc w:val="center"/>
              <w:rPr>
                <w:sz w:val="20"/>
                <w:szCs w:val="20"/>
              </w:rPr>
            </w:pPr>
            <w:r w:rsidRPr="00D03E2F">
              <w:rPr>
                <w:sz w:val="20"/>
                <w:szCs w:val="20"/>
              </w:rPr>
              <w:t>N/A</w:t>
            </w:r>
          </w:p>
        </w:tc>
        <w:tc>
          <w:tcPr>
            <w:tcW w:w="567" w:type="dxa"/>
          </w:tcPr>
          <w:p w:rsidR="00F40E1C" w:rsidRPr="00D03E2F" w:rsidRDefault="00F40E1C" w:rsidP="00D03E2F">
            <w:pPr>
              <w:jc w:val="center"/>
              <w:rPr>
                <w:sz w:val="20"/>
                <w:szCs w:val="20"/>
              </w:rPr>
            </w:pPr>
            <w:r w:rsidRPr="00D03E2F">
              <w:rPr>
                <w:sz w:val="20"/>
                <w:szCs w:val="20"/>
              </w:rPr>
              <w:t>N/A</w:t>
            </w:r>
          </w:p>
        </w:tc>
        <w:tc>
          <w:tcPr>
            <w:tcW w:w="858" w:type="dxa"/>
          </w:tcPr>
          <w:p w:rsidR="00F40E1C" w:rsidRPr="00D03E2F" w:rsidRDefault="00F40E1C" w:rsidP="00D03E2F">
            <w:pPr>
              <w:jc w:val="center"/>
              <w:rPr>
                <w:sz w:val="20"/>
                <w:szCs w:val="20"/>
              </w:rPr>
            </w:pPr>
            <w:r w:rsidRPr="00D03E2F">
              <w:rPr>
                <w:sz w:val="20"/>
                <w:szCs w:val="20"/>
              </w:rPr>
              <w:t>-5%</w:t>
            </w:r>
          </w:p>
        </w:tc>
        <w:tc>
          <w:tcPr>
            <w:tcW w:w="1127" w:type="dxa"/>
          </w:tcPr>
          <w:p w:rsidR="00F40E1C" w:rsidRPr="00D03E2F" w:rsidRDefault="00F40E1C" w:rsidP="00D03E2F">
            <w:pPr>
              <w:jc w:val="center"/>
              <w:rPr>
                <w:sz w:val="20"/>
                <w:szCs w:val="20"/>
              </w:rPr>
            </w:pPr>
            <w:r w:rsidRPr="00D03E2F">
              <w:rPr>
                <w:sz w:val="20"/>
                <w:szCs w:val="20"/>
              </w:rPr>
              <w:t>N/A</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Cree</w:t>
            </w:r>
            <w:r w:rsidR="005D1617" w:rsidRPr="00862086">
              <w:rPr>
                <w:sz w:val="20"/>
                <w:szCs w:val="20"/>
                <w:vertAlign w:val="superscript"/>
              </w:rPr>
              <w:t xml:space="preserve"> </w:t>
            </w:r>
            <w:r w:rsidRPr="00862086">
              <w:rPr>
                <w:sz w:val="20"/>
                <w:szCs w:val="20"/>
                <w:vertAlign w:val="superscript"/>
              </w:rPr>
              <w:t>B</w:t>
            </w:r>
          </w:p>
        </w:tc>
        <w:tc>
          <w:tcPr>
            <w:tcW w:w="992" w:type="dxa"/>
          </w:tcPr>
          <w:p w:rsidR="00F40E1C" w:rsidRPr="00D03E2F" w:rsidRDefault="00F40E1C" w:rsidP="00D03E2F">
            <w:pPr>
              <w:jc w:val="center"/>
              <w:rPr>
                <w:sz w:val="20"/>
                <w:szCs w:val="20"/>
              </w:rPr>
            </w:pPr>
            <w:r w:rsidRPr="00D03E2F">
              <w:rPr>
                <w:sz w:val="20"/>
                <w:szCs w:val="20"/>
              </w:rPr>
              <w:t>50</w:t>
            </w:r>
          </w:p>
        </w:tc>
        <w:tc>
          <w:tcPr>
            <w:tcW w:w="850" w:type="dxa"/>
          </w:tcPr>
          <w:p w:rsidR="00F40E1C" w:rsidRPr="00D03E2F" w:rsidRDefault="00F40E1C" w:rsidP="00D03E2F">
            <w:pPr>
              <w:jc w:val="center"/>
              <w:rPr>
                <w:sz w:val="20"/>
                <w:szCs w:val="20"/>
              </w:rPr>
            </w:pPr>
            <w:r w:rsidRPr="00D03E2F">
              <w:rPr>
                <w:sz w:val="20"/>
                <w:szCs w:val="20"/>
              </w:rPr>
              <w:t>5000</w:t>
            </w:r>
          </w:p>
        </w:tc>
        <w:tc>
          <w:tcPr>
            <w:tcW w:w="709" w:type="dxa"/>
          </w:tcPr>
          <w:p w:rsidR="00F40E1C" w:rsidRPr="00D03E2F" w:rsidRDefault="00F40E1C" w:rsidP="00D03E2F">
            <w:pPr>
              <w:jc w:val="center"/>
              <w:rPr>
                <w:sz w:val="20"/>
                <w:szCs w:val="20"/>
              </w:rPr>
            </w:pPr>
            <w:r w:rsidRPr="00D03E2F">
              <w:rPr>
                <w:sz w:val="20"/>
                <w:szCs w:val="20"/>
              </w:rPr>
              <w:t>100</w:t>
            </w:r>
          </w:p>
        </w:tc>
        <w:tc>
          <w:tcPr>
            <w:tcW w:w="709" w:type="dxa"/>
          </w:tcPr>
          <w:p w:rsidR="00F40E1C" w:rsidRPr="00D03E2F" w:rsidRDefault="00F40E1C" w:rsidP="00D03E2F">
            <w:pPr>
              <w:jc w:val="center"/>
              <w:rPr>
                <w:sz w:val="20"/>
                <w:szCs w:val="20"/>
              </w:rPr>
            </w:pPr>
            <w:r w:rsidRPr="00D03E2F">
              <w:rPr>
                <w:sz w:val="20"/>
                <w:szCs w:val="20"/>
              </w:rPr>
              <w:t>50</w:t>
            </w:r>
          </w:p>
        </w:tc>
        <w:tc>
          <w:tcPr>
            <w:tcW w:w="709" w:type="dxa"/>
          </w:tcPr>
          <w:p w:rsidR="00F40E1C" w:rsidRPr="00D03E2F" w:rsidRDefault="00F40E1C" w:rsidP="00D03E2F">
            <w:pPr>
              <w:jc w:val="center"/>
              <w:rPr>
                <w:sz w:val="20"/>
                <w:szCs w:val="20"/>
              </w:rPr>
            </w:pPr>
            <w:r w:rsidRPr="00D03E2F">
              <w:rPr>
                <w:sz w:val="20"/>
                <w:szCs w:val="20"/>
              </w:rPr>
              <w:t>5000</w:t>
            </w:r>
          </w:p>
        </w:tc>
        <w:tc>
          <w:tcPr>
            <w:tcW w:w="567" w:type="dxa"/>
          </w:tcPr>
          <w:p w:rsidR="00F40E1C" w:rsidRPr="00D03E2F" w:rsidRDefault="00F40E1C" w:rsidP="00D03E2F">
            <w:pPr>
              <w:jc w:val="center"/>
              <w:rPr>
                <w:sz w:val="20"/>
                <w:szCs w:val="20"/>
              </w:rPr>
            </w:pPr>
            <w:r w:rsidRPr="00D03E2F">
              <w:rPr>
                <w:sz w:val="20"/>
                <w:szCs w:val="20"/>
              </w:rPr>
              <w:t>100</w:t>
            </w:r>
          </w:p>
        </w:tc>
        <w:tc>
          <w:tcPr>
            <w:tcW w:w="708" w:type="dxa"/>
          </w:tcPr>
          <w:p w:rsidR="00F40E1C" w:rsidRPr="00D03E2F" w:rsidRDefault="00F40E1C" w:rsidP="00D03E2F">
            <w:pPr>
              <w:jc w:val="center"/>
              <w:rPr>
                <w:sz w:val="20"/>
                <w:szCs w:val="20"/>
              </w:rPr>
            </w:pPr>
            <w:r w:rsidRPr="00D03E2F">
              <w:rPr>
                <w:sz w:val="20"/>
                <w:szCs w:val="20"/>
              </w:rPr>
              <w:t>N/A</w:t>
            </w:r>
          </w:p>
        </w:tc>
        <w:tc>
          <w:tcPr>
            <w:tcW w:w="709" w:type="dxa"/>
          </w:tcPr>
          <w:p w:rsidR="00F40E1C" w:rsidRPr="00D03E2F" w:rsidRDefault="00F40E1C" w:rsidP="00D03E2F">
            <w:pPr>
              <w:jc w:val="center"/>
              <w:rPr>
                <w:sz w:val="20"/>
                <w:szCs w:val="20"/>
              </w:rPr>
            </w:pPr>
            <w:r w:rsidRPr="00D03E2F">
              <w:rPr>
                <w:sz w:val="20"/>
                <w:szCs w:val="20"/>
              </w:rPr>
              <w:t>N/A</w:t>
            </w:r>
          </w:p>
        </w:tc>
        <w:tc>
          <w:tcPr>
            <w:tcW w:w="567" w:type="dxa"/>
          </w:tcPr>
          <w:p w:rsidR="00F40E1C" w:rsidRPr="00D03E2F" w:rsidRDefault="00F40E1C" w:rsidP="00D03E2F">
            <w:pPr>
              <w:jc w:val="center"/>
              <w:rPr>
                <w:sz w:val="20"/>
                <w:szCs w:val="20"/>
              </w:rPr>
            </w:pPr>
            <w:r w:rsidRPr="00D03E2F">
              <w:rPr>
                <w:sz w:val="20"/>
                <w:szCs w:val="20"/>
              </w:rPr>
              <w:t>N/A</w:t>
            </w:r>
          </w:p>
        </w:tc>
        <w:tc>
          <w:tcPr>
            <w:tcW w:w="858" w:type="dxa"/>
          </w:tcPr>
          <w:p w:rsidR="00F40E1C" w:rsidRPr="00D03E2F" w:rsidRDefault="00F40E1C" w:rsidP="00D03E2F">
            <w:pPr>
              <w:jc w:val="center"/>
              <w:rPr>
                <w:sz w:val="20"/>
                <w:szCs w:val="20"/>
              </w:rPr>
            </w:pPr>
            <w:r w:rsidRPr="00862086">
              <w:rPr>
                <w:b/>
                <w:color w:val="538135" w:themeColor="accent6" w:themeShade="BF"/>
                <w:sz w:val="20"/>
                <w:szCs w:val="20"/>
              </w:rPr>
              <w:t>0%</w:t>
            </w:r>
          </w:p>
        </w:tc>
        <w:tc>
          <w:tcPr>
            <w:tcW w:w="1127" w:type="dxa"/>
          </w:tcPr>
          <w:p w:rsidR="00F40E1C" w:rsidRPr="00D03E2F" w:rsidRDefault="00F40E1C" w:rsidP="00D03E2F">
            <w:pPr>
              <w:jc w:val="center"/>
              <w:rPr>
                <w:sz w:val="20"/>
                <w:szCs w:val="20"/>
              </w:rPr>
            </w:pPr>
            <w:r w:rsidRPr="00D03E2F">
              <w:rPr>
                <w:sz w:val="20"/>
                <w:szCs w:val="20"/>
              </w:rPr>
              <w:t>N/A</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Eaton</w:t>
            </w:r>
            <w:r w:rsidR="005D1617" w:rsidRPr="00D03E2F">
              <w:rPr>
                <w:sz w:val="20"/>
                <w:szCs w:val="20"/>
              </w:rPr>
              <w:t xml:space="preserve"> </w:t>
            </w:r>
            <w:r w:rsidRPr="00862086">
              <w:rPr>
                <w:sz w:val="20"/>
                <w:szCs w:val="20"/>
                <w:vertAlign w:val="superscript"/>
              </w:rPr>
              <w:t>C</w:t>
            </w:r>
          </w:p>
        </w:tc>
        <w:tc>
          <w:tcPr>
            <w:tcW w:w="992" w:type="dxa"/>
          </w:tcPr>
          <w:p w:rsidR="00F40E1C" w:rsidRPr="00D03E2F" w:rsidRDefault="00F40E1C" w:rsidP="00D03E2F">
            <w:pPr>
              <w:jc w:val="center"/>
              <w:rPr>
                <w:sz w:val="20"/>
                <w:szCs w:val="20"/>
              </w:rPr>
            </w:pPr>
            <w:r w:rsidRPr="00D03E2F">
              <w:rPr>
                <w:sz w:val="20"/>
                <w:szCs w:val="20"/>
              </w:rPr>
              <w:t>59</w:t>
            </w:r>
          </w:p>
        </w:tc>
        <w:tc>
          <w:tcPr>
            <w:tcW w:w="850" w:type="dxa"/>
          </w:tcPr>
          <w:p w:rsidR="00F40E1C" w:rsidRPr="00D03E2F" w:rsidRDefault="00F40E1C" w:rsidP="00D03E2F">
            <w:pPr>
              <w:jc w:val="center"/>
              <w:rPr>
                <w:sz w:val="20"/>
                <w:szCs w:val="20"/>
              </w:rPr>
            </w:pPr>
            <w:r w:rsidRPr="00D03E2F">
              <w:rPr>
                <w:sz w:val="20"/>
                <w:szCs w:val="20"/>
              </w:rPr>
              <w:t>5414</w:t>
            </w:r>
          </w:p>
        </w:tc>
        <w:tc>
          <w:tcPr>
            <w:tcW w:w="709" w:type="dxa"/>
          </w:tcPr>
          <w:p w:rsidR="00F40E1C" w:rsidRPr="00D03E2F" w:rsidRDefault="00F40E1C" w:rsidP="00D03E2F">
            <w:pPr>
              <w:jc w:val="center"/>
              <w:rPr>
                <w:sz w:val="20"/>
                <w:szCs w:val="20"/>
              </w:rPr>
            </w:pPr>
            <w:r w:rsidRPr="00D03E2F">
              <w:rPr>
                <w:sz w:val="20"/>
                <w:szCs w:val="20"/>
              </w:rPr>
              <w:t>92</w:t>
            </w:r>
          </w:p>
        </w:tc>
        <w:tc>
          <w:tcPr>
            <w:tcW w:w="709" w:type="dxa"/>
          </w:tcPr>
          <w:p w:rsidR="00F40E1C" w:rsidRPr="00D03E2F" w:rsidRDefault="00F40E1C" w:rsidP="00D03E2F">
            <w:pPr>
              <w:jc w:val="center"/>
              <w:rPr>
                <w:sz w:val="20"/>
                <w:szCs w:val="20"/>
              </w:rPr>
            </w:pPr>
            <w:r w:rsidRPr="00D03E2F">
              <w:rPr>
                <w:sz w:val="20"/>
                <w:szCs w:val="20"/>
              </w:rPr>
              <w:t>59</w:t>
            </w:r>
          </w:p>
        </w:tc>
        <w:tc>
          <w:tcPr>
            <w:tcW w:w="709" w:type="dxa"/>
          </w:tcPr>
          <w:p w:rsidR="00F40E1C" w:rsidRPr="00D03E2F" w:rsidRDefault="00F40E1C" w:rsidP="00D03E2F">
            <w:pPr>
              <w:jc w:val="center"/>
              <w:rPr>
                <w:sz w:val="20"/>
                <w:szCs w:val="20"/>
              </w:rPr>
            </w:pPr>
            <w:r w:rsidRPr="00D03E2F">
              <w:rPr>
                <w:sz w:val="20"/>
                <w:szCs w:val="20"/>
              </w:rPr>
              <w:t>6116</w:t>
            </w:r>
          </w:p>
        </w:tc>
        <w:tc>
          <w:tcPr>
            <w:tcW w:w="567" w:type="dxa"/>
          </w:tcPr>
          <w:p w:rsidR="00F40E1C" w:rsidRPr="00D03E2F" w:rsidRDefault="00F40E1C" w:rsidP="00D03E2F">
            <w:pPr>
              <w:jc w:val="center"/>
              <w:rPr>
                <w:sz w:val="20"/>
                <w:szCs w:val="20"/>
              </w:rPr>
            </w:pPr>
            <w:r w:rsidRPr="00D03E2F">
              <w:rPr>
                <w:sz w:val="20"/>
                <w:szCs w:val="20"/>
              </w:rPr>
              <w:t>104</w:t>
            </w:r>
          </w:p>
        </w:tc>
        <w:tc>
          <w:tcPr>
            <w:tcW w:w="708" w:type="dxa"/>
          </w:tcPr>
          <w:p w:rsidR="00F40E1C" w:rsidRPr="00D03E2F" w:rsidRDefault="00F40E1C" w:rsidP="00D03E2F">
            <w:pPr>
              <w:jc w:val="center"/>
              <w:rPr>
                <w:sz w:val="20"/>
                <w:szCs w:val="20"/>
              </w:rPr>
            </w:pPr>
            <w:r w:rsidRPr="00D03E2F">
              <w:rPr>
                <w:sz w:val="20"/>
                <w:szCs w:val="20"/>
              </w:rPr>
              <w:t>59</w:t>
            </w:r>
          </w:p>
        </w:tc>
        <w:tc>
          <w:tcPr>
            <w:tcW w:w="709" w:type="dxa"/>
          </w:tcPr>
          <w:p w:rsidR="00F40E1C" w:rsidRPr="00D03E2F" w:rsidRDefault="00F40E1C" w:rsidP="00D03E2F">
            <w:pPr>
              <w:jc w:val="center"/>
              <w:rPr>
                <w:sz w:val="20"/>
                <w:szCs w:val="20"/>
              </w:rPr>
            </w:pPr>
            <w:r w:rsidRPr="00D03E2F">
              <w:rPr>
                <w:sz w:val="20"/>
                <w:szCs w:val="20"/>
              </w:rPr>
              <w:t>6116</w:t>
            </w:r>
          </w:p>
        </w:tc>
        <w:tc>
          <w:tcPr>
            <w:tcW w:w="567" w:type="dxa"/>
          </w:tcPr>
          <w:p w:rsidR="00F40E1C" w:rsidRPr="00D03E2F" w:rsidRDefault="00F40E1C" w:rsidP="00D03E2F">
            <w:pPr>
              <w:jc w:val="center"/>
              <w:rPr>
                <w:sz w:val="20"/>
                <w:szCs w:val="20"/>
              </w:rPr>
            </w:pPr>
            <w:r w:rsidRPr="00D03E2F">
              <w:rPr>
                <w:sz w:val="20"/>
                <w:szCs w:val="20"/>
              </w:rPr>
              <w:t>104</w:t>
            </w:r>
          </w:p>
        </w:tc>
        <w:tc>
          <w:tcPr>
            <w:tcW w:w="858" w:type="dxa"/>
          </w:tcPr>
          <w:p w:rsidR="00F40E1C" w:rsidRPr="00D03E2F" w:rsidRDefault="00F40E1C" w:rsidP="00D03E2F">
            <w:pPr>
              <w:jc w:val="center"/>
              <w:rPr>
                <w:sz w:val="20"/>
                <w:szCs w:val="20"/>
              </w:rPr>
            </w:pPr>
            <w:r w:rsidRPr="00D03E2F">
              <w:rPr>
                <w:sz w:val="20"/>
                <w:szCs w:val="20"/>
              </w:rPr>
              <w:t>-11%</w:t>
            </w:r>
          </w:p>
        </w:tc>
        <w:tc>
          <w:tcPr>
            <w:tcW w:w="1127" w:type="dxa"/>
          </w:tcPr>
          <w:p w:rsidR="00F40E1C" w:rsidRPr="00D03E2F" w:rsidRDefault="00F40E1C" w:rsidP="00D03E2F">
            <w:pPr>
              <w:jc w:val="center"/>
              <w:rPr>
                <w:sz w:val="20"/>
                <w:szCs w:val="20"/>
              </w:rPr>
            </w:pPr>
            <w:r w:rsidRPr="00862086">
              <w:rPr>
                <w:b/>
                <w:color w:val="538135" w:themeColor="accent6" w:themeShade="BF"/>
                <w:sz w:val="20"/>
                <w:szCs w:val="20"/>
              </w:rPr>
              <w:t>0%</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Hubbell</w:t>
            </w:r>
            <w:r w:rsidR="005D1617" w:rsidRPr="00D03E2F">
              <w:rPr>
                <w:sz w:val="20"/>
                <w:szCs w:val="20"/>
              </w:rPr>
              <w:t xml:space="preserve"> </w:t>
            </w:r>
            <w:r w:rsidRPr="00862086">
              <w:rPr>
                <w:sz w:val="20"/>
                <w:szCs w:val="20"/>
                <w:vertAlign w:val="superscript"/>
              </w:rPr>
              <w:t>D</w:t>
            </w:r>
          </w:p>
        </w:tc>
        <w:tc>
          <w:tcPr>
            <w:tcW w:w="992" w:type="dxa"/>
          </w:tcPr>
          <w:p w:rsidR="00F40E1C" w:rsidRPr="00D03E2F" w:rsidRDefault="00F40E1C" w:rsidP="00D03E2F">
            <w:pPr>
              <w:jc w:val="center"/>
              <w:rPr>
                <w:sz w:val="20"/>
                <w:szCs w:val="20"/>
              </w:rPr>
            </w:pPr>
            <w:r w:rsidRPr="00D03E2F">
              <w:rPr>
                <w:sz w:val="20"/>
                <w:szCs w:val="20"/>
              </w:rPr>
              <w:t>269</w:t>
            </w:r>
          </w:p>
        </w:tc>
        <w:tc>
          <w:tcPr>
            <w:tcW w:w="850" w:type="dxa"/>
          </w:tcPr>
          <w:p w:rsidR="00F40E1C" w:rsidRPr="00D03E2F" w:rsidRDefault="00F40E1C" w:rsidP="00D03E2F">
            <w:pPr>
              <w:jc w:val="center"/>
              <w:rPr>
                <w:sz w:val="20"/>
                <w:szCs w:val="20"/>
              </w:rPr>
            </w:pPr>
            <w:r w:rsidRPr="00D03E2F">
              <w:rPr>
                <w:sz w:val="20"/>
                <w:szCs w:val="20"/>
              </w:rPr>
              <w:t>17734</w:t>
            </w:r>
          </w:p>
        </w:tc>
        <w:tc>
          <w:tcPr>
            <w:tcW w:w="709" w:type="dxa"/>
          </w:tcPr>
          <w:p w:rsidR="00F40E1C" w:rsidRPr="00862086" w:rsidRDefault="00F40E1C" w:rsidP="00D03E2F">
            <w:pPr>
              <w:jc w:val="center"/>
              <w:rPr>
                <w:b/>
                <w:sz w:val="20"/>
                <w:szCs w:val="20"/>
              </w:rPr>
            </w:pPr>
            <w:r w:rsidRPr="00862086">
              <w:rPr>
                <w:b/>
                <w:color w:val="C00000"/>
                <w:sz w:val="20"/>
                <w:szCs w:val="20"/>
              </w:rPr>
              <w:t>66</w:t>
            </w:r>
          </w:p>
        </w:tc>
        <w:tc>
          <w:tcPr>
            <w:tcW w:w="709" w:type="dxa"/>
          </w:tcPr>
          <w:p w:rsidR="00F40E1C" w:rsidRPr="00D03E2F" w:rsidRDefault="00F40E1C" w:rsidP="00D03E2F">
            <w:pPr>
              <w:jc w:val="center"/>
              <w:rPr>
                <w:sz w:val="20"/>
                <w:szCs w:val="20"/>
              </w:rPr>
            </w:pPr>
            <w:r w:rsidRPr="00D03E2F">
              <w:rPr>
                <w:sz w:val="20"/>
                <w:szCs w:val="20"/>
              </w:rPr>
              <w:t>269</w:t>
            </w:r>
          </w:p>
        </w:tc>
        <w:tc>
          <w:tcPr>
            <w:tcW w:w="709" w:type="dxa"/>
          </w:tcPr>
          <w:p w:rsidR="00F40E1C" w:rsidRPr="00D03E2F" w:rsidRDefault="00F40E1C" w:rsidP="00D03E2F">
            <w:pPr>
              <w:jc w:val="center"/>
              <w:rPr>
                <w:sz w:val="20"/>
                <w:szCs w:val="20"/>
              </w:rPr>
            </w:pPr>
            <w:r w:rsidRPr="00D03E2F">
              <w:rPr>
                <w:sz w:val="20"/>
                <w:szCs w:val="20"/>
              </w:rPr>
              <w:t>22736</w:t>
            </w:r>
          </w:p>
        </w:tc>
        <w:tc>
          <w:tcPr>
            <w:tcW w:w="567" w:type="dxa"/>
          </w:tcPr>
          <w:p w:rsidR="00F40E1C" w:rsidRPr="00D03E2F" w:rsidRDefault="00F40E1C" w:rsidP="00D03E2F">
            <w:pPr>
              <w:jc w:val="center"/>
              <w:rPr>
                <w:sz w:val="20"/>
                <w:szCs w:val="20"/>
              </w:rPr>
            </w:pPr>
            <w:r w:rsidRPr="00D03E2F">
              <w:rPr>
                <w:sz w:val="20"/>
                <w:szCs w:val="20"/>
              </w:rPr>
              <w:t>85</w:t>
            </w:r>
          </w:p>
        </w:tc>
        <w:tc>
          <w:tcPr>
            <w:tcW w:w="708" w:type="dxa"/>
          </w:tcPr>
          <w:p w:rsidR="00F40E1C" w:rsidRPr="00D03E2F" w:rsidRDefault="00F40E1C" w:rsidP="00D03E2F">
            <w:pPr>
              <w:jc w:val="center"/>
              <w:rPr>
                <w:sz w:val="20"/>
                <w:szCs w:val="20"/>
              </w:rPr>
            </w:pPr>
            <w:r w:rsidRPr="00D03E2F">
              <w:rPr>
                <w:sz w:val="20"/>
                <w:szCs w:val="20"/>
              </w:rPr>
              <w:t>269</w:t>
            </w:r>
          </w:p>
        </w:tc>
        <w:tc>
          <w:tcPr>
            <w:tcW w:w="709" w:type="dxa"/>
          </w:tcPr>
          <w:p w:rsidR="00F40E1C" w:rsidRPr="00D03E2F" w:rsidRDefault="00F40E1C" w:rsidP="00D03E2F">
            <w:pPr>
              <w:jc w:val="center"/>
              <w:rPr>
                <w:sz w:val="20"/>
                <w:szCs w:val="20"/>
              </w:rPr>
            </w:pPr>
            <w:r w:rsidRPr="00D03E2F">
              <w:rPr>
                <w:sz w:val="20"/>
                <w:szCs w:val="20"/>
              </w:rPr>
              <w:t>23645</w:t>
            </w:r>
          </w:p>
        </w:tc>
        <w:tc>
          <w:tcPr>
            <w:tcW w:w="567" w:type="dxa"/>
          </w:tcPr>
          <w:p w:rsidR="00F40E1C" w:rsidRPr="00D03E2F" w:rsidRDefault="00F40E1C" w:rsidP="00D03E2F">
            <w:pPr>
              <w:jc w:val="center"/>
              <w:rPr>
                <w:sz w:val="20"/>
                <w:szCs w:val="20"/>
              </w:rPr>
            </w:pPr>
            <w:r w:rsidRPr="00D03E2F">
              <w:rPr>
                <w:sz w:val="20"/>
                <w:szCs w:val="20"/>
              </w:rPr>
              <w:t>88</w:t>
            </w:r>
          </w:p>
        </w:tc>
        <w:tc>
          <w:tcPr>
            <w:tcW w:w="858" w:type="dxa"/>
          </w:tcPr>
          <w:p w:rsidR="00F40E1C" w:rsidRPr="00862086" w:rsidRDefault="00F40E1C" w:rsidP="00D03E2F">
            <w:pPr>
              <w:jc w:val="center"/>
              <w:rPr>
                <w:b/>
                <w:sz w:val="20"/>
                <w:szCs w:val="20"/>
              </w:rPr>
            </w:pPr>
            <w:r w:rsidRPr="00862086">
              <w:rPr>
                <w:b/>
                <w:color w:val="C00000"/>
                <w:sz w:val="20"/>
                <w:szCs w:val="20"/>
              </w:rPr>
              <w:t>-22%</w:t>
            </w:r>
          </w:p>
        </w:tc>
        <w:tc>
          <w:tcPr>
            <w:tcW w:w="1127" w:type="dxa"/>
          </w:tcPr>
          <w:p w:rsidR="00F40E1C" w:rsidRPr="00D03E2F" w:rsidRDefault="00F40E1C" w:rsidP="00D03E2F">
            <w:pPr>
              <w:jc w:val="center"/>
              <w:rPr>
                <w:sz w:val="20"/>
                <w:szCs w:val="20"/>
              </w:rPr>
            </w:pPr>
            <w:r w:rsidRPr="00D03E2F">
              <w:rPr>
                <w:sz w:val="20"/>
                <w:szCs w:val="20"/>
              </w:rPr>
              <w:t>-4%</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Leotek</w:t>
            </w:r>
            <w:r w:rsidR="005D1617" w:rsidRPr="00D03E2F">
              <w:rPr>
                <w:sz w:val="20"/>
                <w:szCs w:val="20"/>
              </w:rPr>
              <w:t xml:space="preserve"> </w:t>
            </w:r>
            <w:r w:rsidRPr="00862086">
              <w:rPr>
                <w:sz w:val="20"/>
                <w:szCs w:val="20"/>
                <w:vertAlign w:val="superscript"/>
              </w:rPr>
              <w:t>E</w:t>
            </w:r>
          </w:p>
        </w:tc>
        <w:tc>
          <w:tcPr>
            <w:tcW w:w="992" w:type="dxa"/>
          </w:tcPr>
          <w:p w:rsidR="00F40E1C" w:rsidRPr="00D03E2F" w:rsidRDefault="00F40E1C" w:rsidP="00D03E2F">
            <w:pPr>
              <w:jc w:val="center"/>
              <w:rPr>
                <w:sz w:val="20"/>
                <w:szCs w:val="20"/>
              </w:rPr>
            </w:pPr>
            <w:r w:rsidRPr="00D03E2F">
              <w:rPr>
                <w:sz w:val="20"/>
                <w:szCs w:val="20"/>
              </w:rPr>
              <w:t>29</w:t>
            </w:r>
          </w:p>
        </w:tc>
        <w:tc>
          <w:tcPr>
            <w:tcW w:w="850" w:type="dxa"/>
          </w:tcPr>
          <w:p w:rsidR="00F40E1C" w:rsidRPr="00D03E2F" w:rsidRDefault="00F40E1C" w:rsidP="00D03E2F">
            <w:pPr>
              <w:jc w:val="center"/>
              <w:rPr>
                <w:sz w:val="20"/>
                <w:szCs w:val="20"/>
              </w:rPr>
            </w:pPr>
            <w:r w:rsidRPr="00D03E2F">
              <w:rPr>
                <w:sz w:val="20"/>
                <w:szCs w:val="20"/>
              </w:rPr>
              <w:t>3451</w:t>
            </w:r>
          </w:p>
        </w:tc>
        <w:tc>
          <w:tcPr>
            <w:tcW w:w="709" w:type="dxa"/>
          </w:tcPr>
          <w:p w:rsidR="00F40E1C" w:rsidRPr="00D03E2F" w:rsidRDefault="00F40E1C" w:rsidP="00D03E2F">
            <w:pPr>
              <w:jc w:val="center"/>
              <w:rPr>
                <w:sz w:val="20"/>
                <w:szCs w:val="20"/>
              </w:rPr>
            </w:pPr>
            <w:r w:rsidRPr="00D03E2F">
              <w:rPr>
                <w:sz w:val="20"/>
                <w:szCs w:val="20"/>
              </w:rPr>
              <w:t>118</w:t>
            </w:r>
          </w:p>
        </w:tc>
        <w:tc>
          <w:tcPr>
            <w:tcW w:w="709" w:type="dxa"/>
          </w:tcPr>
          <w:p w:rsidR="00F40E1C" w:rsidRPr="00D03E2F" w:rsidRDefault="00F40E1C" w:rsidP="00D03E2F">
            <w:pPr>
              <w:jc w:val="center"/>
              <w:rPr>
                <w:sz w:val="20"/>
                <w:szCs w:val="20"/>
              </w:rPr>
            </w:pPr>
            <w:r w:rsidRPr="00D03E2F">
              <w:rPr>
                <w:sz w:val="20"/>
                <w:szCs w:val="20"/>
              </w:rPr>
              <w:t>29</w:t>
            </w:r>
          </w:p>
        </w:tc>
        <w:tc>
          <w:tcPr>
            <w:tcW w:w="709" w:type="dxa"/>
          </w:tcPr>
          <w:p w:rsidR="00F40E1C" w:rsidRPr="00D03E2F" w:rsidRDefault="00F40E1C" w:rsidP="00D03E2F">
            <w:pPr>
              <w:jc w:val="center"/>
              <w:rPr>
                <w:sz w:val="20"/>
                <w:szCs w:val="20"/>
              </w:rPr>
            </w:pPr>
            <w:r w:rsidRPr="00D03E2F">
              <w:rPr>
                <w:sz w:val="20"/>
                <w:szCs w:val="20"/>
              </w:rPr>
              <w:t>3739</w:t>
            </w:r>
          </w:p>
        </w:tc>
        <w:tc>
          <w:tcPr>
            <w:tcW w:w="567" w:type="dxa"/>
          </w:tcPr>
          <w:p w:rsidR="00F40E1C" w:rsidRPr="00D03E2F" w:rsidRDefault="00F40E1C" w:rsidP="00D03E2F">
            <w:pPr>
              <w:jc w:val="center"/>
              <w:rPr>
                <w:sz w:val="20"/>
                <w:szCs w:val="20"/>
              </w:rPr>
            </w:pPr>
            <w:r w:rsidRPr="00D03E2F">
              <w:rPr>
                <w:sz w:val="20"/>
                <w:szCs w:val="20"/>
              </w:rPr>
              <w:t>128</w:t>
            </w:r>
          </w:p>
        </w:tc>
        <w:tc>
          <w:tcPr>
            <w:tcW w:w="708" w:type="dxa"/>
          </w:tcPr>
          <w:p w:rsidR="00F40E1C" w:rsidRPr="00D03E2F" w:rsidRDefault="00F40E1C" w:rsidP="00D03E2F">
            <w:pPr>
              <w:jc w:val="center"/>
              <w:rPr>
                <w:sz w:val="20"/>
                <w:szCs w:val="20"/>
              </w:rPr>
            </w:pPr>
            <w:r w:rsidRPr="00D03E2F">
              <w:rPr>
                <w:sz w:val="20"/>
                <w:szCs w:val="20"/>
              </w:rPr>
              <w:t>29</w:t>
            </w:r>
          </w:p>
        </w:tc>
        <w:tc>
          <w:tcPr>
            <w:tcW w:w="709" w:type="dxa"/>
          </w:tcPr>
          <w:p w:rsidR="00F40E1C" w:rsidRPr="00D03E2F" w:rsidRDefault="00F40E1C" w:rsidP="00D03E2F">
            <w:pPr>
              <w:jc w:val="center"/>
              <w:rPr>
                <w:sz w:val="20"/>
                <w:szCs w:val="20"/>
              </w:rPr>
            </w:pPr>
            <w:r w:rsidRPr="00D03E2F">
              <w:rPr>
                <w:sz w:val="20"/>
                <w:szCs w:val="20"/>
              </w:rPr>
              <w:t>3739</w:t>
            </w:r>
          </w:p>
        </w:tc>
        <w:tc>
          <w:tcPr>
            <w:tcW w:w="567" w:type="dxa"/>
          </w:tcPr>
          <w:p w:rsidR="00F40E1C" w:rsidRPr="00D03E2F" w:rsidRDefault="00F40E1C" w:rsidP="00D03E2F">
            <w:pPr>
              <w:jc w:val="center"/>
              <w:rPr>
                <w:sz w:val="20"/>
                <w:szCs w:val="20"/>
              </w:rPr>
            </w:pPr>
            <w:r w:rsidRPr="00D03E2F">
              <w:rPr>
                <w:sz w:val="20"/>
                <w:szCs w:val="20"/>
              </w:rPr>
              <w:t>128</w:t>
            </w:r>
          </w:p>
        </w:tc>
        <w:tc>
          <w:tcPr>
            <w:tcW w:w="858" w:type="dxa"/>
          </w:tcPr>
          <w:p w:rsidR="00F40E1C" w:rsidRPr="00D03E2F" w:rsidRDefault="00F40E1C" w:rsidP="00D03E2F">
            <w:pPr>
              <w:jc w:val="center"/>
              <w:rPr>
                <w:sz w:val="20"/>
                <w:szCs w:val="20"/>
              </w:rPr>
            </w:pPr>
            <w:r w:rsidRPr="00D03E2F">
              <w:rPr>
                <w:sz w:val="20"/>
                <w:szCs w:val="20"/>
              </w:rPr>
              <w:t>-8%</w:t>
            </w:r>
          </w:p>
        </w:tc>
        <w:tc>
          <w:tcPr>
            <w:tcW w:w="1127" w:type="dxa"/>
          </w:tcPr>
          <w:p w:rsidR="00F40E1C" w:rsidRPr="00D03E2F" w:rsidRDefault="00F40E1C" w:rsidP="00D03E2F">
            <w:pPr>
              <w:jc w:val="center"/>
              <w:rPr>
                <w:sz w:val="20"/>
                <w:szCs w:val="20"/>
              </w:rPr>
            </w:pPr>
            <w:r w:rsidRPr="00862086">
              <w:rPr>
                <w:b/>
                <w:color w:val="538135" w:themeColor="accent6" w:themeShade="BF"/>
                <w:sz w:val="20"/>
                <w:szCs w:val="20"/>
              </w:rPr>
              <w:t>0%</w:t>
            </w:r>
          </w:p>
        </w:tc>
      </w:tr>
      <w:tr w:rsidR="00F40E1C" w:rsidRPr="00F40E1C" w:rsidTr="0087712C">
        <w:trPr>
          <w:trHeight w:val="161"/>
        </w:trPr>
        <w:tc>
          <w:tcPr>
            <w:tcW w:w="2230" w:type="dxa"/>
          </w:tcPr>
          <w:p w:rsidR="00F40E1C" w:rsidRPr="00D03E2F" w:rsidRDefault="00F40E1C" w:rsidP="00D03E2F">
            <w:pPr>
              <w:jc w:val="center"/>
              <w:rPr>
                <w:sz w:val="20"/>
                <w:szCs w:val="20"/>
              </w:rPr>
            </w:pPr>
            <w:r w:rsidRPr="00D03E2F">
              <w:rPr>
                <w:sz w:val="20"/>
                <w:szCs w:val="20"/>
              </w:rPr>
              <w:t>Acuity Brands Lithonia</w:t>
            </w:r>
            <w:r w:rsidR="005D1617" w:rsidRPr="00D03E2F">
              <w:rPr>
                <w:sz w:val="20"/>
                <w:szCs w:val="20"/>
              </w:rPr>
              <w:t xml:space="preserve"> </w:t>
            </w:r>
            <w:r w:rsidRPr="00862086">
              <w:rPr>
                <w:sz w:val="20"/>
                <w:szCs w:val="20"/>
                <w:vertAlign w:val="superscript"/>
              </w:rPr>
              <w:t>F</w:t>
            </w:r>
          </w:p>
        </w:tc>
        <w:tc>
          <w:tcPr>
            <w:tcW w:w="992" w:type="dxa"/>
          </w:tcPr>
          <w:p w:rsidR="00F40E1C" w:rsidRPr="00D03E2F" w:rsidRDefault="00F40E1C" w:rsidP="00D03E2F">
            <w:pPr>
              <w:jc w:val="center"/>
              <w:rPr>
                <w:sz w:val="20"/>
                <w:szCs w:val="20"/>
              </w:rPr>
            </w:pPr>
            <w:r w:rsidRPr="00D03E2F">
              <w:rPr>
                <w:sz w:val="20"/>
                <w:szCs w:val="20"/>
              </w:rPr>
              <w:t>72</w:t>
            </w:r>
          </w:p>
        </w:tc>
        <w:tc>
          <w:tcPr>
            <w:tcW w:w="850" w:type="dxa"/>
          </w:tcPr>
          <w:p w:rsidR="00F40E1C" w:rsidRPr="00D03E2F" w:rsidRDefault="00F40E1C" w:rsidP="00D03E2F">
            <w:pPr>
              <w:jc w:val="center"/>
              <w:rPr>
                <w:sz w:val="20"/>
                <w:szCs w:val="20"/>
              </w:rPr>
            </w:pPr>
            <w:r w:rsidRPr="00D03E2F">
              <w:rPr>
                <w:sz w:val="20"/>
                <w:szCs w:val="20"/>
              </w:rPr>
              <w:t>7137</w:t>
            </w:r>
          </w:p>
        </w:tc>
        <w:tc>
          <w:tcPr>
            <w:tcW w:w="709" w:type="dxa"/>
          </w:tcPr>
          <w:p w:rsidR="00F40E1C" w:rsidRPr="00D03E2F" w:rsidRDefault="00F40E1C" w:rsidP="00D03E2F">
            <w:pPr>
              <w:jc w:val="center"/>
              <w:rPr>
                <w:sz w:val="20"/>
                <w:szCs w:val="20"/>
              </w:rPr>
            </w:pPr>
            <w:r w:rsidRPr="00D03E2F">
              <w:rPr>
                <w:sz w:val="20"/>
                <w:szCs w:val="20"/>
              </w:rPr>
              <w:t>99</w:t>
            </w:r>
            <w:r w:rsidR="005D1617" w:rsidRPr="00D03E2F">
              <w:rPr>
                <w:sz w:val="20"/>
                <w:szCs w:val="20"/>
              </w:rPr>
              <w:t xml:space="preserve"> </w:t>
            </w:r>
            <w:r w:rsidRPr="00862086">
              <w:rPr>
                <w:sz w:val="20"/>
                <w:szCs w:val="20"/>
                <w:vertAlign w:val="superscript"/>
              </w:rPr>
              <w:t>G</w:t>
            </w:r>
          </w:p>
        </w:tc>
        <w:tc>
          <w:tcPr>
            <w:tcW w:w="709" w:type="dxa"/>
          </w:tcPr>
          <w:p w:rsidR="00F40E1C" w:rsidRPr="00D03E2F" w:rsidRDefault="00F40E1C" w:rsidP="00D03E2F">
            <w:pPr>
              <w:jc w:val="center"/>
              <w:rPr>
                <w:sz w:val="20"/>
                <w:szCs w:val="20"/>
              </w:rPr>
            </w:pPr>
            <w:r w:rsidRPr="00D03E2F">
              <w:rPr>
                <w:sz w:val="20"/>
                <w:szCs w:val="20"/>
              </w:rPr>
              <w:t>72</w:t>
            </w:r>
          </w:p>
        </w:tc>
        <w:tc>
          <w:tcPr>
            <w:tcW w:w="709" w:type="dxa"/>
          </w:tcPr>
          <w:p w:rsidR="00F40E1C" w:rsidRPr="00D03E2F" w:rsidRDefault="00F40E1C" w:rsidP="00D03E2F">
            <w:pPr>
              <w:jc w:val="center"/>
              <w:rPr>
                <w:sz w:val="20"/>
                <w:szCs w:val="20"/>
              </w:rPr>
            </w:pPr>
            <w:r w:rsidRPr="00D03E2F">
              <w:rPr>
                <w:sz w:val="20"/>
                <w:szCs w:val="20"/>
              </w:rPr>
              <w:t>7665</w:t>
            </w:r>
          </w:p>
        </w:tc>
        <w:tc>
          <w:tcPr>
            <w:tcW w:w="567" w:type="dxa"/>
          </w:tcPr>
          <w:p w:rsidR="00F40E1C" w:rsidRPr="00D03E2F" w:rsidRDefault="00F40E1C" w:rsidP="00D03E2F">
            <w:pPr>
              <w:jc w:val="center"/>
              <w:rPr>
                <w:sz w:val="20"/>
                <w:szCs w:val="20"/>
              </w:rPr>
            </w:pPr>
            <w:r w:rsidRPr="00D03E2F">
              <w:rPr>
                <w:sz w:val="20"/>
                <w:szCs w:val="20"/>
              </w:rPr>
              <w:t>106</w:t>
            </w:r>
          </w:p>
        </w:tc>
        <w:tc>
          <w:tcPr>
            <w:tcW w:w="708" w:type="dxa"/>
          </w:tcPr>
          <w:p w:rsidR="00F40E1C" w:rsidRPr="00D03E2F" w:rsidRDefault="00F40E1C" w:rsidP="00D03E2F">
            <w:pPr>
              <w:jc w:val="center"/>
              <w:rPr>
                <w:sz w:val="20"/>
                <w:szCs w:val="20"/>
              </w:rPr>
            </w:pPr>
            <w:r w:rsidRPr="00D03E2F">
              <w:rPr>
                <w:sz w:val="20"/>
                <w:szCs w:val="20"/>
              </w:rPr>
              <w:t>72</w:t>
            </w:r>
          </w:p>
        </w:tc>
        <w:tc>
          <w:tcPr>
            <w:tcW w:w="709" w:type="dxa"/>
          </w:tcPr>
          <w:p w:rsidR="00F40E1C" w:rsidRPr="00D03E2F" w:rsidRDefault="00F40E1C" w:rsidP="00D03E2F">
            <w:pPr>
              <w:jc w:val="center"/>
              <w:rPr>
                <w:sz w:val="20"/>
                <w:szCs w:val="20"/>
              </w:rPr>
            </w:pPr>
            <w:r w:rsidRPr="00D03E2F">
              <w:rPr>
                <w:sz w:val="20"/>
                <w:szCs w:val="20"/>
              </w:rPr>
              <w:t>7712</w:t>
            </w:r>
          </w:p>
        </w:tc>
        <w:tc>
          <w:tcPr>
            <w:tcW w:w="567" w:type="dxa"/>
          </w:tcPr>
          <w:p w:rsidR="00F40E1C" w:rsidRPr="00D03E2F" w:rsidRDefault="00F40E1C" w:rsidP="00D03E2F">
            <w:pPr>
              <w:jc w:val="center"/>
              <w:rPr>
                <w:sz w:val="20"/>
                <w:szCs w:val="20"/>
              </w:rPr>
            </w:pPr>
            <w:r w:rsidRPr="00D03E2F">
              <w:rPr>
                <w:sz w:val="20"/>
                <w:szCs w:val="20"/>
              </w:rPr>
              <w:t>107</w:t>
            </w:r>
          </w:p>
        </w:tc>
        <w:tc>
          <w:tcPr>
            <w:tcW w:w="858" w:type="dxa"/>
          </w:tcPr>
          <w:p w:rsidR="00F40E1C" w:rsidRPr="00D03E2F" w:rsidRDefault="00F40E1C" w:rsidP="00D03E2F">
            <w:pPr>
              <w:jc w:val="center"/>
              <w:rPr>
                <w:sz w:val="20"/>
                <w:szCs w:val="20"/>
              </w:rPr>
            </w:pPr>
            <w:r w:rsidRPr="00D03E2F">
              <w:rPr>
                <w:sz w:val="20"/>
                <w:szCs w:val="20"/>
              </w:rPr>
              <w:t>-7%</w:t>
            </w:r>
            <w:r w:rsidR="005D1617" w:rsidRPr="00D03E2F">
              <w:rPr>
                <w:sz w:val="20"/>
                <w:szCs w:val="20"/>
              </w:rPr>
              <w:t xml:space="preserve"> </w:t>
            </w:r>
            <w:r w:rsidRPr="00862086">
              <w:rPr>
                <w:sz w:val="20"/>
                <w:szCs w:val="20"/>
                <w:vertAlign w:val="superscript"/>
              </w:rPr>
              <w:t>G</w:t>
            </w:r>
          </w:p>
        </w:tc>
        <w:tc>
          <w:tcPr>
            <w:tcW w:w="1127" w:type="dxa"/>
          </w:tcPr>
          <w:p w:rsidR="00F40E1C" w:rsidRPr="00D03E2F" w:rsidRDefault="00F40E1C" w:rsidP="00D03E2F">
            <w:pPr>
              <w:jc w:val="center"/>
              <w:rPr>
                <w:sz w:val="20"/>
                <w:szCs w:val="20"/>
              </w:rPr>
            </w:pPr>
            <w:r w:rsidRPr="00862086">
              <w:rPr>
                <w:b/>
                <w:color w:val="538135" w:themeColor="accent6" w:themeShade="BF"/>
                <w:sz w:val="20"/>
                <w:szCs w:val="20"/>
              </w:rPr>
              <w:t>-1%</w:t>
            </w:r>
          </w:p>
        </w:tc>
      </w:tr>
      <w:tr w:rsidR="00F40E1C" w:rsidRPr="00F40E1C" w:rsidTr="00D03E2F">
        <w:trPr>
          <w:trHeight w:val="874"/>
        </w:trPr>
        <w:tc>
          <w:tcPr>
            <w:tcW w:w="10735" w:type="dxa"/>
            <w:gridSpan w:val="12"/>
          </w:tcPr>
          <w:p w:rsidR="00F40E1C" w:rsidRPr="00862086" w:rsidRDefault="00F40E1C" w:rsidP="00F40E1C">
            <w:pPr>
              <w:rPr>
                <w:sz w:val="20"/>
                <w:szCs w:val="20"/>
              </w:rPr>
            </w:pPr>
            <w:r w:rsidRPr="00862086">
              <w:rPr>
                <w:sz w:val="20"/>
                <w:szCs w:val="20"/>
                <w:vertAlign w:val="superscript"/>
              </w:rPr>
              <w:t>A</w:t>
            </w:r>
            <w:r w:rsidRPr="00862086">
              <w:rPr>
                <w:sz w:val="20"/>
                <w:szCs w:val="20"/>
              </w:rPr>
              <w:t xml:space="preserve"> Evolve ERL1-Type 2 Med </w:t>
            </w:r>
          </w:p>
          <w:p w:rsidR="005D1617" w:rsidRPr="00862086" w:rsidRDefault="00F40E1C" w:rsidP="00F40E1C">
            <w:pPr>
              <w:rPr>
                <w:sz w:val="20"/>
                <w:szCs w:val="20"/>
              </w:rPr>
            </w:pPr>
            <w:r w:rsidRPr="00862086">
              <w:rPr>
                <w:sz w:val="20"/>
                <w:szCs w:val="20"/>
                <w:vertAlign w:val="superscript"/>
              </w:rPr>
              <w:t>B</w:t>
            </w:r>
            <w:r w:rsidRPr="00862086">
              <w:rPr>
                <w:sz w:val="20"/>
                <w:szCs w:val="20"/>
              </w:rPr>
              <w:t xml:space="preserve"> RSW-S1-Type 2 Med C Galleon LED T2 1000mA </w:t>
            </w:r>
          </w:p>
          <w:p w:rsidR="005D1617" w:rsidRPr="00862086" w:rsidRDefault="00F40E1C" w:rsidP="00F40E1C">
            <w:pPr>
              <w:rPr>
                <w:sz w:val="20"/>
                <w:szCs w:val="20"/>
              </w:rPr>
            </w:pPr>
            <w:r w:rsidRPr="00862086">
              <w:rPr>
                <w:sz w:val="20"/>
                <w:szCs w:val="20"/>
                <w:vertAlign w:val="superscript"/>
              </w:rPr>
              <w:t>D</w:t>
            </w:r>
            <w:r w:rsidRPr="00862086">
              <w:rPr>
                <w:sz w:val="20"/>
                <w:szCs w:val="20"/>
              </w:rPr>
              <w:t xml:space="preserve"> WP9L2P70/120LED </w:t>
            </w:r>
          </w:p>
          <w:p w:rsidR="005D1617" w:rsidRPr="00862086" w:rsidRDefault="00F40E1C" w:rsidP="00F40E1C">
            <w:pPr>
              <w:rPr>
                <w:sz w:val="20"/>
                <w:szCs w:val="20"/>
              </w:rPr>
            </w:pPr>
            <w:r w:rsidRPr="00862086">
              <w:rPr>
                <w:sz w:val="20"/>
                <w:szCs w:val="20"/>
                <w:vertAlign w:val="superscript"/>
              </w:rPr>
              <w:t>E</w:t>
            </w:r>
            <w:r w:rsidRPr="00862086">
              <w:rPr>
                <w:sz w:val="20"/>
                <w:szCs w:val="20"/>
              </w:rPr>
              <w:t xml:space="preserve"> GCJ1-20H-3-450S-5000K </w:t>
            </w:r>
          </w:p>
          <w:p w:rsidR="00F40E1C" w:rsidRPr="00862086" w:rsidRDefault="00F40E1C" w:rsidP="00F40E1C">
            <w:pPr>
              <w:rPr>
                <w:sz w:val="20"/>
                <w:szCs w:val="20"/>
              </w:rPr>
            </w:pPr>
            <w:r w:rsidRPr="00862086">
              <w:rPr>
                <w:sz w:val="20"/>
                <w:szCs w:val="20"/>
                <w:vertAlign w:val="superscript"/>
              </w:rPr>
              <w:t>F</w:t>
            </w:r>
            <w:r w:rsidRPr="00862086">
              <w:rPr>
                <w:sz w:val="20"/>
                <w:szCs w:val="20"/>
              </w:rPr>
              <w:t xml:space="preserve"> DSX0 LED 20C 1000 T2M </w:t>
            </w:r>
          </w:p>
          <w:p w:rsidR="00F40E1C" w:rsidRPr="00F40E1C" w:rsidRDefault="00F40E1C" w:rsidP="00F40E1C">
            <w:r w:rsidRPr="00862086">
              <w:rPr>
                <w:sz w:val="20"/>
                <w:szCs w:val="20"/>
                <w:vertAlign w:val="superscript"/>
              </w:rPr>
              <w:t>G</w:t>
            </w:r>
            <w:r w:rsidRPr="00862086">
              <w:rPr>
                <w:sz w:val="20"/>
                <w:szCs w:val="20"/>
              </w:rPr>
              <w:t xml:space="preserve"> The manufacturer reports reducing the CRI of the 3000K version of this product from 80 to 70 to achieve higher efficacy.</w:t>
            </w:r>
            <w:r w:rsidRPr="00F40E1C">
              <w:t xml:space="preserve"> </w:t>
            </w:r>
          </w:p>
        </w:tc>
      </w:tr>
    </w:tbl>
    <w:p w:rsidR="00F40E1C" w:rsidRDefault="00F40E1C"/>
    <w:p w:rsidR="00F40E1C" w:rsidRDefault="00862086">
      <w:r w:rsidRPr="00862086">
        <w:t>Il confronto accurato tra prodotti a diversi CCT è complicato dai vari metodi utilizzati dai produttori per preservare l'efficacia, come indicato sopra. Tuttavia, tutti i compromessi relativi alle caratteristiche degli apparecchi e alle opzioni CCT dovrebbero essere valutati al momento della selezione del prodotto per ottimizzare i benefici per il progetto specifico.</w:t>
      </w:r>
    </w:p>
    <w:p w:rsidR="00800086" w:rsidRDefault="00800086"/>
    <w:p w:rsidR="00800086" w:rsidRDefault="00800086">
      <w:pPr>
        <w:rPr>
          <w:b/>
          <w:i/>
          <w:color w:val="00B050"/>
          <w:highlight w:val="yellow"/>
        </w:rPr>
      </w:pPr>
      <w:r w:rsidRPr="00800086">
        <w:rPr>
          <w:b/>
          <w:i/>
          <w:color w:val="00B050"/>
          <w:highlight w:val="yellow"/>
        </w:rPr>
        <w:t>NOTA PERSONALE: i dati mostrano rendimenti anche doppi a parità di CCT (temperatura di colore), inoltre le lampade di potenza maggiore hanno</w:t>
      </w:r>
      <w:r>
        <w:rPr>
          <w:b/>
          <w:i/>
          <w:color w:val="00B050"/>
          <w:highlight w:val="yellow"/>
        </w:rPr>
        <w:t xml:space="preserve"> i rendimenti</w:t>
      </w:r>
      <w:r w:rsidRPr="00800086">
        <w:rPr>
          <w:b/>
          <w:i/>
          <w:color w:val="00B050"/>
          <w:highlight w:val="yellow"/>
        </w:rPr>
        <w:t xml:space="preserve"> </w:t>
      </w:r>
      <w:r>
        <w:rPr>
          <w:b/>
          <w:i/>
          <w:color w:val="00B050"/>
          <w:highlight w:val="yellow"/>
        </w:rPr>
        <w:t>peggiori</w:t>
      </w:r>
      <w:r w:rsidRPr="00800086">
        <w:rPr>
          <w:b/>
          <w:i/>
          <w:color w:val="00B050"/>
          <w:highlight w:val="yellow"/>
        </w:rPr>
        <w:t xml:space="preserve">. </w:t>
      </w:r>
      <w:r>
        <w:rPr>
          <w:b/>
          <w:i/>
          <w:color w:val="00B050"/>
          <w:highlight w:val="yellow"/>
        </w:rPr>
        <w:t>Quindi l</w:t>
      </w:r>
      <w:r w:rsidRPr="00800086">
        <w:rPr>
          <w:b/>
          <w:i/>
          <w:color w:val="00B050"/>
          <w:highlight w:val="yellow"/>
        </w:rPr>
        <w:t>e differenze di rendimento sembrano dipendere più dalla tecnologia più o meno evoluta delle lampade, piuttosto che dalle differenti CCT.</w:t>
      </w:r>
    </w:p>
    <w:p w:rsidR="00800086" w:rsidRDefault="00800086">
      <w:pPr>
        <w:rPr>
          <w:b/>
          <w:i/>
          <w:color w:val="00B050"/>
          <w:highlight w:val="yellow"/>
        </w:rPr>
      </w:pPr>
      <w:r>
        <w:rPr>
          <w:b/>
          <w:i/>
          <w:color w:val="00B050"/>
          <w:highlight w:val="yellow"/>
        </w:rPr>
        <w:br w:type="page"/>
      </w:r>
    </w:p>
    <w:p w:rsidR="008B51A1" w:rsidRPr="008B51A1" w:rsidRDefault="008B51A1" w:rsidP="008B51A1">
      <w:r w:rsidRPr="008B51A1">
        <w:rPr>
          <w:b/>
          <w:bCs/>
        </w:rPr>
        <w:lastRenderedPageBreak/>
        <w:t xml:space="preserve">9.2 Visual acuity, scene brightness, and possible safety implications </w:t>
      </w:r>
    </w:p>
    <w:p w:rsidR="008B51A1" w:rsidRPr="008B51A1" w:rsidRDefault="008B51A1" w:rsidP="008B51A1">
      <w:r w:rsidRPr="008B51A1">
        <w:t xml:space="preserve">Short wavelengths are a part of the natural day and night spectrum around which our vision has evolved. Reducing the content of short wavelengths may therefore carry tradeoffs in visual performance and perceptions of brightness that need to be considered when designing a street lighting system. The spectrum affects both the luminance contrast and the color contrast of the object, and thus affects the ability to see and recognize the task and situation even when our sensitivity to color is diminished under nighttime light levels. </w:t>
      </w:r>
    </w:p>
    <w:p w:rsidR="008B51A1" w:rsidRPr="008B51A1" w:rsidRDefault="008B51A1" w:rsidP="008B51A1">
      <w:r w:rsidRPr="008B51A1">
        <w:t xml:space="preserve">The source of the visibility and brightness improvement from broader-band spectrum sources is not completely understood. The IES36 and the CIE37 acknowledge improvement in off-axis visibility for drivers due to scotopic content in the SPD, probably due to the blue-shifted sensitivity of the rods and the preponderance of rods in the periphery of the retina, but more research will be required to fully explain this phenomenon. </w:t>
      </w:r>
    </w:p>
    <w:p w:rsidR="008B51A1" w:rsidRDefault="008B51A1" w:rsidP="008B51A1"/>
    <w:p w:rsidR="008B51A1" w:rsidRDefault="008B51A1" w:rsidP="008B51A1">
      <w:r w:rsidRPr="008B51A1">
        <w:t xml:space="preserve">Studies in Seattle38 and San Jose39 suggest that color contrast may play a role in a driver’s ability to detect an obstacle or pedestrian from a greater distance, enabling earlier braking time. Although more research is again needed, it stands to reason that there may be associated safety implications from reducing or eliminating short wavelengths from a street lighting source. </w:t>
      </w:r>
    </w:p>
    <w:p w:rsidR="008B51A1" w:rsidRPr="008B51A1" w:rsidRDefault="008B51A1" w:rsidP="008B51A1"/>
    <w:p w:rsidR="008B51A1" w:rsidRPr="008B51A1" w:rsidRDefault="008B51A1" w:rsidP="008B51A1">
      <w:r w:rsidRPr="008B51A1">
        <w:rPr>
          <w:b/>
          <w:bCs/>
        </w:rPr>
        <w:t xml:space="preserve">9.3 Sky glow from street lighting in context </w:t>
      </w:r>
    </w:p>
    <w:p w:rsidR="008B51A1" w:rsidRDefault="008B51A1" w:rsidP="008B51A1">
      <w:r w:rsidRPr="008B51A1">
        <w:t xml:space="preserve">Sky glow results from a complex combination of light released to the exterior environment within a region. In addition to street lighting, other sources of light at night include area lighting (e.g., surface parking lots and parking garages, pedestrian pathways and building campuses, recreational parks and athletic fields, and residential porch lights), advertisements and signage, vehicles, exterior building architectural lighting, and building interior lighting escaping from windows and skylights (see Figure 20). </w:t>
      </w:r>
    </w:p>
    <w:p w:rsidR="000A182B" w:rsidRDefault="000A182B" w:rsidP="008B51A1"/>
    <w:p w:rsidR="000A182B" w:rsidRDefault="000A182B" w:rsidP="008B51A1">
      <w:r w:rsidRPr="000A182B">
        <w:rPr>
          <w:noProof/>
          <w:lang w:eastAsia="it-IT"/>
        </w:rPr>
        <w:drawing>
          <wp:inline distT="0" distB="0" distL="0" distR="0">
            <wp:extent cx="2868461" cy="1899597"/>
            <wp:effectExtent l="0" t="0" r="8255" b="571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84295" cy="1910083"/>
                    </a:xfrm>
                    <a:prstGeom prst="rect">
                      <a:avLst/>
                    </a:prstGeom>
                    <a:noFill/>
                    <a:ln>
                      <a:noFill/>
                    </a:ln>
                  </pic:spPr>
                </pic:pic>
              </a:graphicData>
            </a:graphic>
          </wp:inline>
        </w:drawing>
      </w:r>
      <w:r w:rsidRPr="000A182B">
        <w:rPr>
          <w:noProof/>
          <w:lang w:eastAsia="it-IT"/>
        </w:rPr>
        <w:drawing>
          <wp:inline distT="0" distB="0" distL="0" distR="0">
            <wp:extent cx="2521265" cy="1888342"/>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3544" cy="1905028"/>
                    </a:xfrm>
                    <a:prstGeom prst="rect">
                      <a:avLst/>
                    </a:prstGeom>
                    <a:noFill/>
                    <a:ln>
                      <a:noFill/>
                    </a:ln>
                  </pic:spPr>
                </pic:pic>
              </a:graphicData>
            </a:graphic>
          </wp:inline>
        </w:drawing>
      </w:r>
    </w:p>
    <w:p w:rsidR="000A182B" w:rsidRPr="008B51A1" w:rsidRDefault="000A182B" w:rsidP="008B51A1"/>
    <w:p w:rsidR="008B51A1" w:rsidRPr="008B51A1" w:rsidRDefault="008B51A1" w:rsidP="008B51A1">
      <w:r w:rsidRPr="008B51A1">
        <w:rPr>
          <w:b/>
          <w:bCs/>
        </w:rPr>
        <w:t xml:space="preserve">Figure 20 Many sources of light contribute to sky glow. </w:t>
      </w:r>
    </w:p>
    <w:p w:rsidR="00800086" w:rsidRDefault="008B51A1" w:rsidP="008B51A1">
      <w:r w:rsidRPr="008B51A1">
        <w:t>While a street light would typically have a much higher light output than, for instance, light escaping a single office or storefront window, the uplight component of the latter may be greater due to a complete lack of directional control. Furthermore, the aggregate contribution may be quite substantial, as suggested in Figure 21.</w:t>
      </w:r>
    </w:p>
    <w:p w:rsidR="008B51A1" w:rsidRDefault="008B51A1" w:rsidP="008B51A1"/>
    <w:p w:rsidR="008B51A1" w:rsidRDefault="008B51A1" w:rsidP="008B51A1"/>
    <w:p w:rsidR="008B51A1" w:rsidRPr="008B51A1" w:rsidRDefault="008B51A1" w:rsidP="008B51A1">
      <w:pPr>
        <w:rPr>
          <w:sz w:val="20"/>
          <w:szCs w:val="20"/>
        </w:rPr>
      </w:pPr>
      <w:r w:rsidRPr="008B51A1">
        <w:rPr>
          <w:sz w:val="20"/>
          <w:szCs w:val="20"/>
        </w:rPr>
        <w:t xml:space="preserve">36 Illuminating Engineering Society. Spectral effects of lighting on visual performance at mesopic light levels, TM-12, 2006. </w:t>
      </w:r>
    </w:p>
    <w:p w:rsidR="008B51A1" w:rsidRPr="008B51A1" w:rsidRDefault="008B51A1" w:rsidP="008B51A1">
      <w:pPr>
        <w:rPr>
          <w:sz w:val="20"/>
          <w:szCs w:val="20"/>
        </w:rPr>
      </w:pPr>
      <w:r w:rsidRPr="008B51A1">
        <w:rPr>
          <w:sz w:val="20"/>
          <w:szCs w:val="20"/>
        </w:rPr>
        <w:t xml:space="preserve">37 Commission Internationale de L’Eclairage, “Recommended System for Mesopic Photometry Based on Visual Performance,” CIE Report (Vienna Austria), vol. 191, 2010. </w:t>
      </w:r>
    </w:p>
    <w:p w:rsidR="008B51A1" w:rsidRPr="008B51A1" w:rsidRDefault="008B51A1" w:rsidP="008B51A1">
      <w:pPr>
        <w:rPr>
          <w:sz w:val="20"/>
          <w:szCs w:val="20"/>
        </w:rPr>
      </w:pPr>
      <w:r w:rsidRPr="008B51A1">
        <w:rPr>
          <w:sz w:val="20"/>
          <w:szCs w:val="20"/>
        </w:rPr>
        <w:t xml:space="preserve">38 Seattle LED Adaptive Lighting Study, 2014: https://neea.org/docs/default-source/reports/seattle-led-adaptive-lighting-study.pdf?sfvrsn=4. </w:t>
      </w:r>
    </w:p>
    <w:p w:rsidR="008B51A1" w:rsidRPr="008B51A1" w:rsidRDefault="008B51A1" w:rsidP="008B51A1">
      <w:pPr>
        <w:rPr>
          <w:sz w:val="20"/>
          <w:szCs w:val="20"/>
        </w:rPr>
      </w:pPr>
      <w:r w:rsidRPr="008B51A1">
        <w:rPr>
          <w:sz w:val="20"/>
          <w:szCs w:val="20"/>
        </w:rPr>
        <w:t xml:space="preserve">39 City of San Jose Advanced street lighting technologies assessment project, 2010: http://www.sanjoseca.gov/DocumentCenter/View/18941. </w:t>
      </w:r>
    </w:p>
    <w:p w:rsidR="008B51A1" w:rsidRDefault="008B51A1" w:rsidP="008B51A1"/>
    <w:p w:rsidR="008B51A1" w:rsidRDefault="008B51A1">
      <w:r>
        <w:br w:type="page"/>
      </w:r>
    </w:p>
    <w:p w:rsidR="008B51A1" w:rsidRDefault="008B51A1" w:rsidP="008B51A1">
      <w:r w:rsidRPr="008B51A1">
        <w:lastRenderedPageBreak/>
        <w:t xml:space="preserve">Building lighting is predominately characterized by broad spectrum sources at 3000 K, and frequently higher, CCTs. Associated sky glow is thereby likely to be significant, but there appears to be a relative lack of focus on this source and its corresponding contributions to date. </w:t>
      </w:r>
    </w:p>
    <w:p w:rsidR="000A182B" w:rsidRDefault="000A182B" w:rsidP="008B51A1"/>
    <w:p w:rsidR="000A182B" w:rsidRPr="008B51A1" w:rsidRDefault="000A182B" w:rsidP="000A182B">
      <w:pPr>
        <w:jc w:val="center"/>
      </w:pPr>
      <w:r w:rsidRPr="000A182B">
        <w:rPr>
          <w:noProof/>
          <w:lang w:eastAsia="it-IT"/>
        </w:rPr>
        <w:drawing>
          <wp:inline distT="0" distB="0" distL="0" distR="0">
            <wp:extent cx="6178301" cy="3849665"/>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3086" cy="3852646"/>
                    </a:xfrm>
                    <a:prstGeom prst="rect">
                      <a:avLst/>
                    </a:prstGeom>
                    <a:noFill/>
                    <a:ln>
                      <a:noFill/>
                    </a:ln>
                  </pic:spPr>
                </pic:pic>
              </a:graphicData>
            </a:graphic>
          </wp:inline>
        </w:drawing>
      </w:r>
    </w:p>
    <w:p w:rsidR="008B51A1" w:rsidRDefault="008B51A1" w:rsidP="008B51A1">
      <w:r w:rsidRPr="008B51A1">
        <w:rPr>
          <w:b/>
          <w:bCs/>
        </w:rPr>
        <w:t xml:space="preserve">Figure 21 High-angle lighting primarily from building interiors. </w:t>
      </w:r>
      <w:r w:rsidRPr="008B51A1">
        <w:t xml:space="preserve">All light visible from this point of view is being emitted above the horizontal plane. </w:t>
      </w:r>
    </w:p>
    <w:p w:rsidR="000A182B" w:rsidRPr="008B51A1" w:rsidRDefault="000A182B" w:rsidP="008B51A1"/>
    <w:p w:rsidR="008B51A1" w:rsidRPr="008B51A1" w:rsidRDefault="008B51A1" w:rsidP="008B51A1">
      <w:r w:rsidRPr="008B51A1">
        <w:t xml:space="preserve">Table 6 was assembled in response to recent concerns from the medical community about “blue” wavelength content in LED sources, with a focus on street lighting.40 The table reveals that blue wavelength content is generally similar among different lighting sources at similar CCTs (though individual products can range somewhat due to differences in their SPDs). Note that the sources listed include many commonly used in interior and exterior applications. All broad-spectrum lighting exposed to the night environment thus has the potential to be of concern, with respect to contributions to sky glow. </w:t>
      </w:r>
    </w:p>
    <w:p w:rsidR="008B51A1" w:rsidRPr="008B51A1" w:rsidRDefault="008B51A1" w:rsidP="008B51A1">
      <w:r w:rsidRPr="008B51A1">
        <w:t xml:space="preserve">The model runs described in this study illustrated that uplight exerts an oversized influence on sky glow and that the influence generally increases with SPDs containing higher levels of short wavelength energy, especially if weighting the results for scotopic visibility. Heavily populated metro areas thereby have potentially substantial contributions to sky glow from non-street lighting sources. This is emphasized following LED lighting conversions where direct uplight from the older street lighting has been largely eliminated. Estimation of the relative contributions of non-street lighting sources has received only limited attention in the literature to date, however, and deserves further investigation. </w:t>
      </w:r>
    </w:p>
    <w:p w:rsidR="008B51A1" w:rsidRDefault="008B51A1" w:rsidP="008B51A1">
      <w:r w:rsidRPr="008B51A1">
        <w:t xml:space="preserve">Ultimately, cities should proceed through their street lighting design and selection process with as much knowledge as possible of the benefits and trade-offs of the different options available in order to have realistic expectations of the results. This recommendation holds whether the topic of interest is energy use, lighting quality, associated issues like sky glow, or achieving the best balance among all of the above. </w:t>
      </w:r>
    </w:p>
    <w:p w:rsidR="008B51A1" w:rsidRDefault="008B51A1" w:rsidP="008B51A1"/>
    <w:p w:rsidR="008B51A1" w:rsidRDefault="008B51A1" w:rsidP="008B51A1"/>
    <w:p w:rsidR="008B51A1" w:rsidRPr="008B51A1" w:rsidRDefault="008B51A1" w:rsidP="008B51A1">
      <w:r w:rsidRPr="008B51A1">
        <w:t xml:space="preserve">40 See the related </w:t>
      </w:r>
      <w:r w:rsidRPr="008B51A1">
        <w:rPr>
          <w:i/>
          <w:iCs/>
        </w:rPr>
        <w:t xml:space="preserve">Light Post </w:t>
      </w:r>
      <w:r w:rsidRPr="008B51A1">
        <w:t xml:space="preserve">newsletter: http://energy.gov/sites/prod/files/2016/07/f33/msslc_enews_jul2016.pdf. </w:t>
      </w:r>
    </w:p>
    <w:p w:rsidR="008B51A1" w:rsidRDefault="008B51A1">
      <w:r>
        <w:br w:type="page"/>
      </w:r>
    </w:p>
    <w:p w:rsidR="008B51A1" w:rsidRDefault="008B51A1" w:rsidP="008B51A1"/>
    <w:p w:rsidR="008B51A1" w:rsidRDefault="008B51A1" w:rsidP="008B51A1"/>
    <w:p w:rsidR="008B51A1" w:rsidRPr="008B51A1" w:rsidRDefault="008B51A1" w:rsidP="008B51A1"/>
    <w:p w:rsidR="008B51A1" w:rsidRPr="008B51A1" w:rsidRDefault="008B51A1" w:rsidP="008B51A1">
      <w:r w:rsidRPr="008B51A1">
        <w:t xml:space="preserve">37 </w:t>
      </w:r>
    </w:p>
    <w:p w:rsidR="008B51A1" w:rsidRPr="008B51A1" w:rsidRDefault="008B51A1" w:rsidP="008B51A1">
      <w:r w:rsidRPr="008B51A1">
        <w:t xml:space="preserve">† </w:t>
      </w:r>
    </w:p>
    <w:p w:rsidR="008B51A1" w:rsidRDefault="008B51A1" w:rsidP="008B51A1">
      <w:pPr>
        <w:rPr>
          <w:b/>
          <w:bCs/>
        </w:rPr>
      </w:pPr>
      <w:r w:rsidRPr="008B51A1">
        <w:rPr>
          <w:b/>
          <w:bCs/>
        </w:rPr>
        <w:t xml:space="preserve">Table 6 Selected blue light characteristics of various outdoor lighting sources at equivalent light output. </w:t>
      </w:r>
    </w:p>
    <w:p w:rsidR="000A182B" w:rsidRDefault="000A182B" w:rsidP="008B51A1">
      <w:pPr>
        <w:rPr>
          <w:b/>
          <w:bCs/>
        </w:rPr>
      </w:pPr>
    </w:p>
    <w:p w:rsidR="000A182B" w:rsidRDefault="000A182B" w:rsidP="008B51A1">
      <w:pPr>
        <w:rPr>
          <w:b/>
          <w:bCs/>
        </w:rPr>
      </w:pPr>
      <w:r w:rsidRPr="000A182B">
        <w:rPr>
          <w:b/>
          <w:bCs/>
          <w:noProof/>
          <w:lang w:eastAsia="it-IT"/>
        </w:rPr>
        <w:drawing>
          <wp:inline distT="0" distB="0" distL="0" distR="0">
            <wp:extent cx="6840220" cy="4321555"/>
            <wp:effectExtent l="0" t="0" r="0" b="317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4321555"/>
                    </a:xfrm>
                    <a:prstGeom prst="rect">
                      <a:avLst/>
                    </a:prstGeom>
                    <a:noFill/>
                    <a:ln>
                      <a:noFill/>
                    </a:ln>
                  </pic:spPr>
                </pic:pic>
              </a:graphicData>
            </a:graphic>
          </wp:inline>
        </w:drawing>
      </w:r>
    </w:p>
    <w:p w:rsidR="000A182B" w:rsidRPr="008B51A1" w:rsidRDefault="000A182B" w:rsidP="008B51A1"/>
    <w:p w:rsidR="008B51A1" w:rsidRPr="008B51A1" w:rsidRDefault="008B51A1" w:rsidP="008B51A1">
      <w:r w:rsidRPr="008B51A1">
        <w:t xml:space="preserve">* Percent blue calculated according to LSPDD: Light Spectral Power Distribution Database, http://galileo.graphycs.cegepsherbrooke.qc.CA/app/en/home. The specific calculation, developed for evaluating the potential for affecting sky glow, divides the radiant power contained in the wavelengths between 405 and 530 nm by the total radiant power contained from 380 to 730 nm, for each light source. </w:t>
      </w:r>
    </w:p>
    <w:p w:rsidR="008B51A1" w:rsidRPr="008B51A1" w:rsidRDefault="008B51A1" w:rsidP="008B51A1">
      <w:r w:rsidRPr="008B51A1">
        <w:t xml:space="preserve">** Melanopic content calculated according to CIE Irradiance Toolbox, http://files.cie.co.at/784_TN003_Toolbox.xls, 2015 as derived from Lucas et al., 2014. </w:t>
      </w:r>
    </w:p>
    <w:p w:rsidR="008B51A1" w:rsidRPr="008B51A1" w:rsidRDefault="008B51A1" w:rsidP="008B51A1">
      <w:r w:rsidRPr="008B51A1">
        <w:rPr>
          <w:b/>
          <w:bCs/>
        </w:rPr>
        <w:t xml:space="preserve">Key: </w:t>
      </w:r>
      <w:r w:rsidRPr="008B51A1">
        <w:t xml:space="preserve">PC -- phosphor converted LED -- light emitting diode </w:t>
      </w:r>
    </w:p>
    <w:p w:rsidR="008B51A1" w:rsidRPr="008B51A1" w:rsidRDefault="008B51A1" w:rsidP="008B51A1">
      <w:r w:rsidRPr="008B51A1">
        <w:t xml:space="preserve">† Moonlight CCT measured and provided by Telelumen, LLC. </w:t>
      </w:r>
    </w:p>
    <w:p w:rsidR="008B51A1" w:rsidRPr="008B51A1" w:rsidRDefault="008B51A1" w:rsidP="008B51A1">
      <w:r w:rsidRPr="008B51A1">
        <w:t xml:space="preserve">38 </w:t>
      </w:r>
    </w:p>
    <w:p w:rsidR="005C4ED7" w:rsidRDefault="005C4ED7">
      <w:pPr>
        <w:rPr>
          <w:b/>
          <w:bCs/>
        </w:rPr>
      </w:pPr>
      <w:r>
        <w:rPr>
          <w:b/>
          <w:bCs/>
        </w:rPr>
        <w:br w:type="page"/>
      </w:r>
    </w:p>
    <w:p w:rsidR="008B51A1" w:rsidRPr="008B51A1" w:rsidRDefault="008B51A1" w:rsidP="008B51A1">
      <w:r w:rsidRPr="008B51A1">
        <w:rPr>
          <w:b/>
          <w:bCs/>
        </w:rPr>
        <w:lastRenderedPageBreak/>
        <w:t xml:space="preserve">10 Conclusions </w:t>
      </w:r>
    </w:p>
    <w:p w:rsidR="008B51A1" w:rsidRPr="008B51A1" w:rsidRDefault="008B51A1" w:rsidP="008B51A1">
      <w:r w:rsidRPr="008B51A1">
        <w:t xml:space="preserve">Multiple factors contribute to the level of sky glow produced in any location, and the level likely changes with the combination of those factors (and sometimes dynamically as factors such as weather vary over time). A related consideration is that street lighting is only one of many sources of light at night in urban areas. The findings in this study consequently represent only the estimated contributions to sky glow from the street lighting system under the conditions considered, and may not even address the primary sources of sky glow contribution in locations like large urban areas. </w:t>
      </w:r>
    </w:p>
    <w:p w:rsidR="008B51A1" w:rsidRPr="008B51A1" w:rsidRDefault="008B51A1" w:rsidP="008B51A1">
      <w:r w:rsidRPr="008B51A1">
        <w:t xml:space="preserve">The short wavelength content of broad-spectrum sources like LEDs is only one element within the street lighting system. Other characteristics of modern street lighting luminaires can reduce or, in some cases, even eliminate the effects of wavelength content on sky glow. The three main characteristics of luminaires that influence sky glow are SPD, total light output, and light distribution (and, most importantly, the amount emitted as uplight above the horizontal plane). Each of these characteristics can be varied during at least the initial selection of products and should therefore be carefully evaluated as part of the system design. </w:t>
      </w:r>
    </w:p>
    <w:p w:rsidR="008B51A1" w:rsidRPr="008B51A1" w:rsidRDefault="008B51A1" w:rsidP="008B51A1">
      <w:r w:rsidRPr="008B51A1">
        <w:t xml:space="preserve">External factors also influence the relative amount of sky glow that a given observer receives, such as the observer’s location relative to the source of the light (especially their distance from it), the size of the source (i.e., city size), and the atmospheric conditions at the time. These points are of interest but may or may not be of value to someone planning an installation since they are largely outside of the range of influence of those plans. </w:t>
      </w:r>
    </w:p>
    <w:p w:rsidR="008B51A1" w:rsidRPr="008B51A1" w:rsidRDefault="008B51A1" w:rsidP="008B51A1">
      <w:r w:rsidRPr="008B51A1">
        <w:t xml:space="preserve">This investigation looked at relative sky glow values produced by varying one factor at a time, so that the effect of SPD, for example, can be compared between sources with all other factors being equal. This investigation also looked at relative sky glow for a typical LED streetlight retrofit in the U.S., where lumen output is reduced by half, and uplight from a glass refractor HPS cobra head is replaced with a luminaire directing light downward only. The results of this common scenario show that, for residents near the city, the visible contribution to sky glow from a typical LED street light conversion in the U.S.41 should be no worse than before, and may possibly improve, relative to the system being replaced. In terms of impact specific to astronomical observation, the overall contribution to sky glow from the street light system should be considerably reduced (by perhaps more than half) for any observatories near the city. Within some relatively short distance outside the city, the sky glow contribution from this typical street light system conversion appears to substantially diminish at all SPDs (and CCTs), for all observers. </w:t>
      </w:r>
    </w:p>
    <w:p w:rsidR="008B51A1" w:rsidRPr="008B51A1" w:rsidRDefault="008B51A1" w:rsidP="008B51A1">
      <w:r w:rsidRPr="008B51A1">
        <w:t xml:space="preserve">Compared to the 4000 K street lighting systems that much of the country has installed to date, additional reductions in the contribution to sky glow can be pursued through approaches such as adding a dimming system, eliminating unneeded street lights, or moving to a 3000 K (or lower CCT) standard. However, in this latter case, the specific SPDs of the products under consideration must be examined to confirm that a reduction is being achieved. The merits of doing so should be evaluated case by case, carefully comparing the additional collective benefits with any tradeoffs. </w:t>
      </w:r>
    </w:p>
    <w:p w:rsidR="008B51A1" w:rsidRDefault="008B51A1" w:rsidP="008B51A1">
      <w:r w:rsidRPr="008B51A1">
        <w:t xml:space="preserve">A.1 </w:t>
      </w:r>
    </w:p>
    <w:p w:rsidR="005C4ED7" w:rsidRDefault="005C4ED7" w:rsidP="008B51A1"/>
    <w:p w:rsidR="005C4ED7" w:rsidRDefault="005C4ED7" w:rsidP="008B51A1"/>
    <w:p w:rsidR="005C4ED7" w:rsidRPr="008B51A1" w:rsidRDefault="005C4ED7" w:rsidP="005C4ED7">
      <w:r w:rsidRPr="008B51A1">
        <w:t xml:space="preserve">41 A typical street lighting conversion is here defined to mean the replacement of HPS fixtures with 2% uplight with LED products at half the light output and 0% uplight. </w:t>
      </w:r>
    </w:p>
    <w:p w:rsidR="005C4ED7" w:rsidRDefault="005C4ED7">
      <w:r>
        <w:br w:type="page"/>
      </w:r>
    </w:p>
    <w:p w:rsidR="005C4ED7" w:rsidRPr="008B51A1" w:rsidRDefault="005C4ED7" w:rsidP="008B51A1"/>
    <w:p w:rsidR="008B51A1" w:rsidRPr="008B51A1" w:rsidRDefault="008B51A1" w:rsidP="008B51A1">
      <w:r w:rsidRPr="008B51A1">
        <w:rPr>
          <w:b/>
          <w:bCs/>
        </w:rPr>
        <w:t xml:space="preserve">Appendix A: Sky Glow Models Reviewed </w:t>
      </w:r>
    </w:p>
    <w:p w:rsidR="008B51A1" w:rsidRPr="008B51A1" w:rsidRDefault="008B51A1" w:rsidP="008B51A1">
      <w:r w:rsidRPr="008B51A1">
        <w:t xml:space="preserve">The modeling of proposed changes in ground-based light sources could be very helpful in designing optimum parameters of outdoor lighting for a given location, if the model’s use is straightforward enough for members of the general lighting community. Numerous models exist to estimate sky glow by approximating the distribution of scattered light, but they vary in complexity and transparency of operation.1 The selection of a model depends on the accuracy required as well as the size of the input data and sensitivity to physical parameters. </w:t>
      </w:r>
    </w:p>
    <w:p w:rsidR="008B51A1" w:rsidRPr="008B51A1" w:rsidRDefault="008B51A1" w:rsidP="008B51A1">
      <w:r w:rsidRPr="008B51A1">
        <w:t xml:space="preserve">This section briefly compares three sky glow models developed to date. </w:t>
      </w:r>
    </w:p>
    <w:p w:rsidR="008B51A1" w:rsidRPr="008B51A1" w:rsidRDefault="008B51A1" w:rsidP="008B51A1">
      <w:r w:rsidRPr="008B51A1">
        <w:rPr>
          <w:b/>
          <w:bCs/>
        </w:rPr>
        <w:t xml:space="preserve">The Garstang model </w:t>
      </w:r>
    </w:p>
    <w:p w:rsidR="008B51A1" w:rsidRPr="008B51A1" w:rsidRDefault="008B51A1" w:rsidP="008B51A1">
      <w:r w:rsidRPr="008B51A1">
        <w:t xml:space="preserve">Originally developed in the 1980s and designed to execute on an Apple II computer of that era, the methodology used in this model has become a standard reference for subsequent models.2 Garstang’s approach is typically used to predict the effects of outdoor lighting on sky brightness for an observer some distance from the city center. Along a given path through the atmosphere, the model estimates the amount of light scattered, as well as the amount removed by extinction (i.e., attenuation via both scattering and absorption). Garstang’s model assumes all light is emitted at 550 nm. A two-component atmosphere is modeled, consisting of molecules and aerosols, with the amount of aerosol defined through a parameter K, which sets the ratio of total molecular (Rayleigh) to aerosol (Mie) scattering. It has been used to predict and evaluate the effects of outdoor lighting on sky glow at astronomical observatories. </w:t>
      </w:r>
    </w:p>
    <w:p w:rsidR="008B51A1" w:rsidRPr="008B51A1" w:rsidRDefault="008B51A1" w:rsidP="008B51A1">
      <w:r w:rsidRPr="008B51A1">
        <w:t xml:space="preserve">The Garstang model was developed using measures of sky brightness to deduce unknown characteristics of on-the-ground lighting—a sky-down approach. It predicts sky glow based on assumed ground lighting characteristics, including total lumen output based on population estimates and assumed lumens per capita, the fraction of light emitted above horizontal (10% uplight), and the average ground albedo. The model assumes the uplight is emitted close to horizontal plane and the reflected component from the ground is reflected in a Lambertian distribution. Together, they form a composite street lighting distribution. The model addresses the radiative transfer portion of the problem through molecular and aerosol scattering and absorption, has provisions for absorptive (haze) layers, and has differing altitudes between light sources (e.g., cities) and corresponding observation points. </w:t>
      </w:r>
    </w:p>
    <w:p w:rsidR="008B51A1" w:rsidRPr="008B51A1" w:rsidRDefault="008B51A1" w:rsidP="008B51A1">
      <w:r w:rsidRPr="008B51A1">
        <w:rPr>
          <w:b/>
          <w:bCs/>
        </w:rPr>
        <w:t xml:space="preserve">Luginbuhl’s modifications to Garstang’s model </w:t>
      </w:r>
    </w:p>
    <w:p w:rsidR="008B51A1" w:rsidRDefault="008B51A1" w:rsidP="008B51A1">
      <w:r w:rsidRPr="008B51A1">
        <w:t xml:space="preserve">Luginbuhl reported that “[t]he standard Garstang model…clearly predicts a much brighter sky than that measured.”3 Several factors likely contribute to this observation. Garstang assumed there is no atmosphere between light fixtures and the ground; thus, all downward-directed lighting is undiminished by atmospheric </w:t>
      </w:r>
    </w:p>
    <w:p w:rsidR="000A182B" w:rsidRDefault="000A182B" w:rsidP="008B51A1"/>
    <w:p w:rsidR="000A182B" w:rsidRDefault="000A182B" w:rsidP="008B51A1"/>
    <w:p w:rsidR="000A182B" w:rsidRDefault="000A182B" w:rsidP="008B51A1"/>
    <w:p w:rsidR="000A182B" w:rsidRPr="008B51A1" w:rsidRDefault="000A182B" w:rsidP="000A182B">
      <w:r w:rsidRPr="008B51A1">
        <w:t xml:space="preserve">1 For example, a number of examples can be found by searching the internet on the phrase “sky glow model” plus the following additions: Garstang 1991, Cinzano et al. 2000, Gillet et al. 2001, Aube et al. 2005, Baddiley 2007, Kocifaj 2007, Luginbuhl et al. 2009, Kocifaj 2010, Kocifaj et al. 2010, Cinzano and Falchi 2012, Kocifaj et al. 2014, Luginbuhl et al. 2014, Aube 2015, Kollath et al. 2016. </w:t>
      </w:r>
    </w:p>
    <w:p w:rsidR="000A182B" w:rsidRPr="008B51A1" w:rsidRDefault="000A182B" w:rsidP="000A182B">
      <w:r w:rsidRPr="008B51A1">
        <w:t xml:space="preserve">2 R. H. Garstang. ‘Model for Artificial Night-Sky Illumination.’ </w:t>
      </w:r>
      <w:r w:rsidRPr="008B51A1">
        <w:rPr>
          <w:i/>
          <w:iCs/>
        </w:rPr>
        <w:t>Publications of the Astronomical Society of the Pacific</w:t>
      </w:r>
      <w:r w:rsidRPr="008B51A1">
        <w:t xml:space="preserve">, vol. 98, no. 601, 1986, pp. 364-375. </w:t>
      </w:r>
    </w:p>
    <w:p w:rsidR="000A182B" w:rsidRPr="008B51A1" w:rsidRDefault="000A182B" w:rsidP="000A182B">
      <w:r w:rsidRPr="008B51A1">
        <w:t xml:space="preserve">3 C. Luginbuhl et al. ‘From the Ground Up II: Sky Glow and Near-Ground Artificial Light Propagation in Flagstaff, Arizona.’ </w:t>
      </w:r>
      <w:r w:rsidRPr="008B51A1">
        <w:rPr>
          <w:i/>
          <w:iCs/>
        </w:rPr>
        <w:t>Publications of the Astronomical Society of the Pacific</w:t>
      </w:r>
      <w:r w:rsidRPr="008B51A1">
        <w:t xml:space="preserve">, vol. 121, 2009, pp. 204-212. </w:t>
      </w:r>
    </w:p>
    <w:p w:rsidR="000A182B" w:rsidRDefault="000A182B">
      <w:r>
        <w:br w:type="page"/>
      </w:r>
    </w:p>
    <w:p w:rsidR="000A182B" w:rsidRPr="008B51A1" w:rsidRDefault="000A182B" w:rsidP="008B51A1"/>
    <w:p w:rsidR="008B51A1" w:rsidRPr="008B51A1" w:rsidRDefault="008B51A1" w:rsidP="008B51A1">
      <w:r w:rsidRPr="008B51A1">
        <w:t xml:space="preserve">A.2 </w:t>
      </w:r>
    </w:p>
    <w:p w:rsidR="008B51A1" w:rsidRPr="008B51A1" w:rsidRDefault="008B51A1" w:rsidP="008B51A1">
      <w:r w:rsidRPr="008B51A1">
        <w:t xml:space="preserve">scattering or absorption. Also, all ground near the sources is assumed flat and horizontal.4 The model furthermore assumes a fixed fraction of the flux is emitted upward, which is increasingly out of date with the expanded use of modern U0 rated luminaires.5 All rays reflected from the ground or emitted from fixtures directly upward propagate into the atmosphere, unimpeded by further interaction with surfaces. Thus, the upward intensity distribution function assumed by Garstang (Figure A.1, left) and similar functions, heavily weighted toward the horizon, are unlikely to represent the actual upward light distribution in most cities. </w:t>
      </w:r>
    </w:p>
    <w:p w:rsidR="008B51A1" w:rsidRPr="008B51A1" w:rsidRDefault="008B51A1" w:rsidP="008B51A1">
      <w:r w:rsidRPr="008B51A1">
        <w:t xml:space="preserve"> </w:t>
      </w:r>
      <w:r w:rsidR="000A182B" w:rsidRPr="000A182B">
        <w:rPr>
          <w:noProof/>
          <w:lang w:eastAsia="it-IT"/>
        </w:rPr>
        <w:drawing>
          <wp:inline distT="0" distB="0" distL="0" distR="0">
            <wp:extent cx="2213522" cy="2187880"/>
            <wp:effectExtent l="0" t="0" r="0" b="3175"/>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29299" cy="2203474"/>
                    </a:xfrm>
                    <a:prstGeom prst="rect">
                      <a:avLst/>
                    </a:prstGeom>
                    <a:noFill/>
                    <a:ln>
                      <a:noFill/>
                    </a:ln>
                  </pic:spPr>
                </pic:pic>
              </a:graphicData>
            </a:graphic>
          </wp:inline>
        </w:drawing>
      </w:r>
      <w:r w:rsidR="000A182B" w:rsidRPr="000A182B">
        <w:rPr>
          <w:noProof/>
          <w:lang w:eastAsia="it-IT"/>
        </w:rPr>
        <w:drawing>
          <wp:inline distT="0" distB="0" distL="0" distR="0">
            <wp:extent cx="2271773" cy="2130633"/>
            <wp:effectExtent l="0" t="0" r="0" b="3175"/>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4190" cy="2151657"/>
                    </a:xfrm>
                    <a:prstGeom prst="rect">
                      <a:avLst/>
                    </a:prstGeom>
                    <a:noFill/>
                    <a:ln>
                      <a:noFill/>
                    </a:ln>
                  </pic:spPr>
                </pic:pic>
              </a:graphicData>
            </a:graphic>
          </wp:inline>
        </w:drawing>
      </w:r>
    </w:p>
    <w:p w:rsidR="008B51A1" w:rsidRPr="008B51A1" w:rsidRDefault="008B51A1" w:rsidP="008B51A1">
      <w:r w:rsidRPr="008B51A1">
        <w:rPr>
          <w:b/>
          <w:bCs/>
        </w:rPr>
        <w:t xml:space="preserve">Figure A.1 Mapped upward intensity distribution of Garstang’s model (left) compared with Luginbuhl’s modifications (right). </w:t>
      </w:r>
      <w:r w:rsidRPr="008B51A1">
        <w:t xml:space="preserve">Left: reflected component (15%) of the downward-emitted light (dashed line) along with the direct upward component (10%) (dotted line) together yield upward intensity angular distribution (solid line). Right: smooth earth simulation (solid line) compared with intensity distribution when light fixture is immersed in an array of buildings (inner curves). </w:t>
      </w:r>
    </w:p>
    <w:p w:rsidR="008B51A1" w:rsidRDefault="008B51A1" w:rsidP="008B51A1">
      <w:r w:rsidRPr="008B51A1">
        <w:t xml:space="preserve">Luginbuhl investigated the effects of the near-ground environment by developing specific built environments that accounted for light distribution from specific fixtures, and then studied the resulting impact on the propagation of light (Figure A.1, right). Near-ground extinction is also incorporated through a combination of the direct blocking of some fraction of the near-ground light so the emitted light never reaches the ground and subsequent blocking of reflected rays that consequently never reach the atmosphere. Luginbuhl’s follow-up work looked at the effect of light source spectral power distribution (SPD) on sky brightness so as to no longer assume monochromatic radiation.6 </w:t>
      </w:r>
    </w:p>
    <w:p w:rsidR="000A182B" w:rsidRDefault="000A182B" w:rsidP="008B51A1"/>
    <w:p w:rsidR="000A182B" w:rsidRDefault="000A182B" w:rsidP="008B51A1"/>
    <w:p w:rsidR="000A182B" w:rsidRDefault="000A182B" w:rsidP="008B51A1"/>
    <w:p w:rsidR="000A182B" w:rsidRPr="008B51A1" w:rsidRDefault="000A182B" w:rsidP="000A182B">
      <w:r w:rsidRPr="008B51A1">
        <w:t xml:space="preserve">4 In reality, if a portion of the light exiting the fixture strikes a surface oriented perpendicular to ground (e.g., the side of a building), no more than 50% of reflected light will be directed upward, which most heavily affects rays directed close to horizontal. </w:t>
      </w:r>
    </w:p>
    <w:p w:rsidR="000A182B" w:rsidRPr="008B51A1" w:rsidRDefault="000A182B" w:rsidP="000A182B">
      <w:r w:rsidRPr="008B51A1">
        <w:t xml:space="preserve">5 Illuminating Engineering Society Technical Memorandum 15-2011, Luminaire classification system for outdoor luminaires. </w:t>
      </w:r>
    </w:p>
    <w:p w:rsidR="000A182B" w:rsidRPr="008B51A1" w:rsidRDefault="000A182B" w:rsidP="000A182B">
      <w:r w:rsidRPr="008B51A1">
        <w:t xml:space="preserve">6 C. Luginbuhl, P. Boley, and D. Davis. ‘The impact of light source spectral power distribution on sky glow.’ </w:t>
      </w:r>
      <w:r w:rsidRPr="008B51A1">
        <w:rPr>
          <w:i/>
          <w:iCs/>
        </w:rPr>
        <w:t>Journal of Quantitative Spectroscopy &amp; Radiative Transfer</w:t>
      </w:r>
      <w:r w:rsidRPr="008B51A1">
        <w:t xml:space="preserve">, vol. 139, 2014, pp. 21-26. </w:t>
      </w:r>
    </w:p>
    <w:p w:rsidR="000A182B" w:rsidRPr="008B51A1" w:rsidRDefault="000A182B" w:rsidP="000A182B">
      <w:r w:rsidRPr="008B51A1">
        <w:t xml:space="preserve">7 Wiki de Martin Aube – ILLUMINA project: Heterogeneous modeling of artificial sky radiance. </w:t>
      </w:r>
    </w:p>
    <w:p w:rsidR="000A182B" w:rsidRPr="008B51A1" w:rsidRDefault="000A182B" w:rsidP="000A182B">
      <w:r w:rsidRPr="008B51A1">
        <w:t xml:space="preserve">Project page: http://cegepsherbrooke.qc.ca/~aubema/index.php/Prof/IllumEn </w:t>
      </w:r>
    </w:p>
    <w:p w:rsidR="000A182B" w:rsidRPr="008B51A1" w:rsidRDefault="000A182B" w:rsidP="000A182B">
      <w:r w:rsidRPr="008B51A1">
        <w:t xml:space="preserve">Read me: https://bitbucket.org/aubema/illumina </w:t>
      </w:r>
    </w:p>
    <w:p w:rsidR="000A182B" w:rsidRPr="008B51A1" w:rsidRDefault="000A182B" w:rsidP="000A182B">
      <w:r w:rsidRPr="008B51A1">
        <w:t xml:space="preserve">User’s guide: http://cegepsherbrooke.qc.ca/~aubema/index.php/Prof/IlluminaGuide2016 </w:t>
      </w:r>
    </w:p>
    <w:p w:rsidR="000A182B" w:rsidRPr="008B51A1" w:rsidRDefault="000A182B" w:rsidP="008B51A1"/>
    <w:p w:rsidR="000A182B" w:rsidRDefault="000A182B">
      <w:pPr>
        <w:rPr>
          <w:b/>
          <w:bCs/>
        </w:rPr>
      </w:pPr>
      <w:r>
        <w:rPr>
          <w:b/>
          <w:bCs/>
        </w:rPr>
        <w:br w:type="page"/>
      </w:r>
    </w:p>
    <w:p w:rsidR="008B51A1" w:rsidRPr="008B51A1" w:rsidRDefault="008B51A1" w:rsidP="008B51A1">
      <w:r w:rsidRPr="008B51A1">
        <w:rPr>
          <w:b/>
          <w:bCs/>
        </w:rPr>
        <w:lastRenderedPageBreak/>
        <w:t xml:space="preserve">ILLUMINA7 </w:t>
      </w:r>
    </w:p>
    <w:p w:rsidR="008B51A1" w:rsidRPr="008B51A1" w:rsidRDefault="008B51A1" w:rsidP="008B51A1">
      <w:r w:rsidRPr="008B51A1">
        <w:t xml:space="preserve">The difficulty of predicting atmospheric behavior with acceptable precision is well recognized in the field of weather forecasting. Similarly, although a simple sky glow model may provide a cursory estimate of light scatter and propagation in the atmosphere, a supercomputer is usually required to process large amounts of data to help increase confidence in the predictions. For the scope of this paper, Garstang’s model is considered “simple” and ILLUMINA the opposite. </w:t>
      </w:r>
    </w:p>
    <w:p w:rsidR="008B51A1" w:rsidRPr="008B51A1" w:rsidRDefault="008B51A1" w:rsidP="008B51A1">
      <w:r w:rsidRPr="008B51A1">
        <w:t xml:space="preserve">A.3 </w:t>
      </w:r>
    </w:p>
    <w:p w:rsidR="008B51A1" w:rsidRDefault="008B51A1" w:rsidP="008B51A1">
      <w:r w:rsidRPr="008B51A1">
        <w:t xml:space="preserve">ILLUMINA (developed by Martin Aubé) is an open-source, voxel-based, radiative flux transfer program that can require weeks to run on a supercomputer with several thousand CPUs and terabytes of RAM.8,9 The model is currently housed at Cégep de Sherbrooke in Canada. Although Garstang’s model includes an </w:t>
      </w:r>
      <w:r w:rsidRPr="008B51A1">
        <w:rPr>
          <w:i/>
          <w:iCs/>
        </w:rPr>
        <w:t xml:space="preserve">ad hoc </w:t>
      </w:r>
      <w:r w:rsidRPr="008B51A1">
        <w:t xml:space="preserve">term for double scattering, it is not possible to determine whether it correctly models the atmospheric optics. Instead of an </w:t>
      </w:r>
      <w:r w:rsidRPr="008B51A1">
        <w:rPr>
          <w:i/>
          <w:iCs/>
        </w:rPr>
        <w:t xml:space="preserve">ad hoc </w:t>
      </w:r>
      <w:r w:rsidRPr="008B51A1">
        <w:t xml:space="preserve">term, ILLUMINA considers diffuse reflections from the ground and in-scattering of scattered light from volumes m into the volumes n visible to the observer (see Figure A.2). </w:t>
      </w:r>
    </w:p>
    <w:p w:rsidR="000A182B" w:rsidRDefault="000A182B" w:rsidP="008B51A1"/>
    <w:p w:rsidR="000A182B" w:rsidRPr="008B51A1" w:rsidRDefault="000A182B" w:rsidP="000A182B">
      <w:pPr>
        <w:jc w:val="center"/>
      </w:pPr>
      <w:r w:rsidRPr="000A182B">
        <w:rPr>
          <w:noProof/>
          <w:lang w:eastAsia="it-IT"/>
        </w:rPr>
        <w:drawing>
          <wp:inline distT="0" distB="0" distL="0" distR="0">
            <wp:extent cx="4115145" cy="4279201"/>
            <wp:effectExtent l="0" t="0" r="0" b="762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2834" cy="4287196"/>
                    </a:xfrm>
                    <a:prstGeom prst="rect">
                      <a:avLst/>
                    </a:prstGeom>
                    <a:noFill/>
                    <a:ln>
                      <a:noFill/>
                    </a:ln>
                  </pic:spPr>
                </pic:pic>
              </a:graphicData>
            </a:graphic>
          </wp:inline>
        </w:drawing>
      </w:r>
    </w:p>
    <w:p w:rsidR="000A182B" w:rsidRDefault="008B51A1" w:rsidP="008B51A1">
      <w:pPr>
        <w:rPr>
          <w:b/>
          <w:bCs/>
        </w:rPr>
      </w:pPr>
      <w:r w:rsidRPr="008B51A1">
        <w:rPr>
          <w:b/>
          <w:bCs/>
        </w:rPr>
        <w:t xml:space="preserve">Figure A.2 ILLUMINA considers diffuse reflections from the ground and in-scattering of scattered light from volumes m into the volumes n visible to the observer. </w:t>
      </w:r>
    </w:p>
    <w:p w:rsidR="000A182B" w:rsidRDefault="000A182B" w:rsidP="008B51A1">
      <w:pPr>
        <w:rPr>
          <w:b/>
          <w:bCs/>
        </w:rPr>
      </w:pPr>
    </w:p>
    <w:p w:rsidR="008B51A1" w:rsidRPr="008B51A1" w:rsidRDefault="008B51A1" w:rsidP="008B51A1">
      <w:r w:rsidRPr="008B51A1">
        <w:t xml:space="preserve">This graphic shows the contribution of the received flux by a spectrometer in position o. The animation in the following link shows the 3D calculation of single and double scattering with or without reflection on the ground: http://cegepsherbrooke.qc.ca/~aubema/index.php/Prof/IllumEn?action=download&amp;upname=illum-anim.gif. </w:t>
      </w:r>
    </w:p>
    <w:p w:rsidR="008B51A1" w:rsidRDefault="008B51A1" w:rsidP="008B51A1">
      <w:r w:rsidRPr="008B51A1">
        <w:t xml:space="preserve">Aubé decided to implement a heterogeneous sky glow model that allows the simulation of real situations (e.g., a city of any shape, geographical distribution of light, spectral luminosity and angular emission patterns, ground spectral reflectance variability, and topography. Remotely sensed satellite data is used to determine the terrestrial information, such as luminosity data, ground albedo, and topography instead of assuming a population density to light intensity relationship as is the case in most models. ILLUMINA was designed to simulate light scattered back to a spectrometer. The approach is similar to ray-tracing software: essentially a set of photons emitted from luminaires in combination with respective interactions with the ground, molecules, and aerosols. These interactions are computed along light-paths toward a simulated observer for a given voxel intersecting a viewing angle (composed of zenith and azimuth angles). A spectrometer was subsequently designed so it could be used to validate model results or simply monitor sky glow for specific sites. The model can also be used independently to simulate the fraction of sky glow due to the molecules and </w:t>
      </w:r>
      <w:r w:rsidRPr="008B51A1">
        <w:lastRenderedPageBreak/>
        <w:t xml:space="preserve">atmospheric aerosols, based on the assumption that the composition and vertical profile of aerosols are horizontally uniform over the modeling domain. </w:t>
      </w:r>
    </w:p>
    <w:p w:rsidR="000A182B" w:rsidRDefault="000A182B" w:rsidP="008B51A1"/>
    <w:p w:rsidR="000A182B" w:rsidRDefault="000A182B" w:rsidP="008B51A1"/>
    <w:p w:rsidR="000A182B" w:rsidRDefault="000A182B" w:rsidP="008B51A1"/>
    <w:p w:rsidR="000A182B" w:rsidRPr="008B51A1" w:rsidRDefault="000A182B" w:rsidP="000A182B">
      <w:r w:rsidRPr="008B51A1">
        <w:t xml:space="preserve">8 M. Aubé et al. ‘Light Pollution Modelling and Detection in a Heterogeneous Environment: Toward a Night Time Aerosol Optical Depth Retrieval Method.’ </w:t>
      </w:r>
      <w:r w:rsidRPr="008B51A1">
        <w:rPr>
          <w:i/>
          <w:iCs/>
        </w:rPr>
        <w:t>Proceedings of SPIE</w:t>
      </w:r>
      <w:r w:rsidRPr="008B51A1">
        <w:t xml:space="preserve">, vol. 5890, no. 248, 2005. </w:t>
      </w:r>
    </w:p>
    <w:p w:rsidR="000A182B" w:rsidRPr="008B51A1" w:rsidRDefault="000A182B" w:rsidP="000A182B">
      <w:r w:rsidRPr="008B51A1">
        <w:t xml:space="preserve">9 M. Aubé. ‘Light Pollution Modeling and Detection in a Heterogeneous Environment.’ </w:t>
      </w:r>
      <w:r w:rsidRPr="008B51A1">
        <w:rPr>
          <w:i/>
          <w:iCs/>
        </w:rPr>
        <w:t>STARLIGHT Proceedings</w:t>
      </w:r>
      <w:r w:rsidRPr="008B51A1">
        <w:t xml:space="preserve">, 2007, pp. 119-126. </w:t>
      </w:r>
    </w:p>
    <w:p w:rsidR="000A182B" w:rsidRDefault="000A182B">
      <w:r>
        <w:br w:type="page"/>
      </w:r>
    </w:p>
    <w:p w:rsidR="000A182B" w:rsidRPr="008B51A1" w:rsidRDefault="000A182B" w:rsidP="008B51A1"/>
    <w:p w:rsidR="008B51A1" w:rsidRPr="008B51A1" w:rsidRDefault="008B51A1" w:rsidP="008B51A1">
      <w:r w:rsidRPr="008B51A1">
        <w:t xml:space="preserve">A.4 </w:t>
      </w:r>
    </w:p>
    <w:p w:rsidR="000A182B" w:rsidRDefault="008B51A1" w:rsidP="008B51A1">
      <w:r w:rsidRPr="008B51A1">
        <w:t xml:space="preserve">ILLUMINA also gives two maps as standard output: 1) a radiance contribution map (RCM) that provides the contribution of each squared kilometer sea-level footprint of the domain to the sky radiance and 2) a radiance per lumen sensitivity map (RSM) that provides the contribution of each squared kilometer sea-level footprint of the domain to the sky radiance per lumen installed. RCM allows for the identification of the origin of the radiance whereas RSM gives a map of the most critical zones in terms of possible increases or decreases of radiance with any change in light-fixture inventory. </w:t>
      </w:r>
    </w:p>
    <w:p w:rsidR="000A182B" w:rsidRDefault="000A182B">
      <w:r>
        <w:br w:type="page"/>
      </w:r>
    </w:p>
    <w:p w:rsidR="008B51A1" w:rsidRPr="008B51A1" w:rsidRDefault="008B51A1" w:rsidP="008B51A1"/>
    <w:p w:rsidR="008B51A1" w:rsidRPr="008B51A1" w:rsidRDefault="008B51A1" w:rsidP="008B51A1">
      <w:r w:rsidRPr="008B51A1">
        <w:t xml:space="preserve">B.1 </w:t>
      </w:r>
    </w:p>
    <w:p w:rsidR="008B51A1" w:rsidRDefault="008B51A1" w:rsidP="008B51A1">
      <w:pPr>
        <w:rPr>
          <w:b/>
          <w:bCs/>
        </w:rPr>
      </w:pPr>
      <w:r w:rsidRPr="008B51A1">
        <w:rPr>
          <w:b/>
          <w:bCs/>
        </w:rPr>
        <w:t xml:space="preserve">Appendix B: Graphs </w:t>
      </w:r>
    </w:p>
    <w:p w:rsidR="000A182B" w:rsidRDefault="000A182B" w:rsidP="008B51A1">
      <w:pPr>
        <w:rPr>
          <w:b/>
          <w:bCs/>
        </w:rPr>
      </w:pPr>
    </w:p>
    <w:p w:rsidR="000A182B" w:rsidRDefault="000A182B" w:rsidP="000A182B">
      <w:pPr>
        <w:jc w:val="center"/>
        <w:rPr>
          <w:b/>
          <w:bCs/>
        </w:rPr>
      </w:pPr>
      <w:bookmarkStart w:id="1" w:name="_GoBack"/>
      <w:r w:rsidRPr="000A182B">
        <w:rPr>
          <w:b/>
          <w:bCs/>
          <w:noProof/>
          <w:lang w:eastAsia="it-IT"/>
        </w:rPr>
        <w:drawing>
          <wp:inline distT="0" distB="0" distL="0" distR="0">
            <wp:extent cx="4855924" cy="3272702"/>
            <wp:effectExtent l="0" t="0" r="1905" b="4445"/>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2509" cy="3277140"/>
                    </a:xfrm>
                    <a:prstGeom prst="rect">
                      <a:avLst/>
                    </a:prstGeom>
                    <a:noFill/>
                    <a:ln>
                      <a:noFill/>
                    </a:ln>
                  </pic:spPr>
                </pic:pic>
              </a:graphicData>
            </a:graphic>
          </wp:inline>
        </w:drawing>
      </w:r>
      <w:bookmarkEnd w:id="1"/>
    </w:p>
    <w:p w:rsidR="000A182B" w:rsidRPr="008B51A1" w:rsidRDefault="000A182B" w:rsidP="008B51A1"/>
    <w:p w:rsidR="008B51A1" w:rsidRDefault="008B51A1" w:rsidP="008B51A1">
      <w:r w:rsidRPr="008B51A1">
        <w:rPr>
          <w:b/>
          <w:bCs/>
        </w:rPr>
        <w:t xml:space="preserve">Figure B.1 Relative impacts of the atmospheric conditions for the near and distant observer positions. </w:t>
      </w:r>
      <w:r w:rsidRPr="008B51A1">
        <w:t>The relative impacts of all atmospheric conditions compared to ATM1 are graphed for each city and all SPDs based on their percent uplight (0%, 2%, 10%). Both the unweighted and scotopically weighted results are graphed. The graph on the left, for the near observer, shows the significant increase in sky glow due to clouds, including the increase in sky glow that comes from decreasing uplight (for the cloudy condition only). The graph on the right, for the distant observer, shows the influence more turbulent and cloudy atmospheres have to decrease sky glow. Unlike the graph for the near observer, decreasing the percent uplight decreases sky glow, also denoted by the arrows.</w:t>
      </w:r>
    </w:p>
    <w:p w:rsidR="008B51A1" w:rsidRDefault="008B51A1" w:rsidP="008B51A1"/>
    <w:p w:rsidR="000A182B" w:rsidRPr="008B51A1" w:rsidRDefault="000A182B" w:rsidP="008B51A1"/>
    <w:sectPr w:rsidR="000A182B" w:rsidRPr="008B51A1" w:rsidSect="004E4AC9">
      <w:pgSz w:w="11906" w:h="16838"/>
      <w:pgMar w:top="567" w:right="567" w:bottom="567" w:left="56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89A" w:rsidRDefault="00CC089A" w:rsidP="00835204">
      <w:r>
        <w:separator/>
      </w:r>
    </w:p>
  </w:endnote>
  <w:endnote w:type="continuationSeparator" w:id="0">
    <w:p w:rsidR="00CC089A" w:rsidRDefault="00CC089A" w:rsidP="0083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NCFLW L+ Gotham Narrow">
    <w:altName w:val="Gotham Narrow"/>
    <w:panose1 w:val="00000000000000000000"/>
    <w:charset w:val="00"/>
    <w:family w:val="swiss"/>
    <w:notTrueType/>
    <w:pitch w:val="default"/>
    <w:sig w:usb0="00000003" w:usb1="00000000" w:usb2="00000000" w:usb3="00000000" w:csb0="00000001" w:csb1="00000000"/>
  </w:font>
  <w:font w:name="Liberation Mono">
    <w:altName w:val="Courier New"/>
    <w:charset w:val="01"/>
    <w:family w:val="modern"/>
    <w:pitch w:val="fixed"/>
  </w:font>
  <w:font w:name="AR PL SungtiL GB">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Arial">
    <w:altName w:val="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167335"/>
      <w:docPartObj>
        <w:docPartGallery w:val="Page Numbers (Bottom of Page)"/>
        <w:docPartUnique/>
      </w:docPartObj>
    </w:sdtPr>
    <w:sdtContent>
      <w:p w:rsidR="000A182B" w:rsidRDefault="000A182B">
        <w:pPr>
          <w:pStyle w:val="Pidipagina"/>
          <w:jc w:val="center"/>
        </w:pPr>
        <w:r>
          <w:fldChar w:fldCharType="begin"/>
        </w:r>
        <w:r>
          <w:instrText>PAGE   \* MERGEFORMAT</w:instrText>
        </w:r>
        <w:r>
          <w:fldChar w:fldCharType="separate"/>
        </w:r>
        <w:r w:rsidR="00CF5107">
          <w:rPr>
            <w:noProof/>
          </w:rPr>
          <w:t>43</w:t>
        </w:r>
        <w:r>
          <w:fldChar w:fldCharType="end"/>
        </w:r>
      </w:p>
    </w:sdtContent>
  </w:sdt>
  <w:p w:rsidR="000A182B" w:rsidRDefault="000A182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89A" w:rsidRDefault="00CC089A" w:rsidP="00835204">
      <w:r>
        <w:separator/>
      </w:r>
    </w:p>
  </w:footnote>
  <w:footnote w:type="continuationSeparator" w:id="0">
    <w:p w:rsidR="00CC089A" w:rsidRDefault="00CC089A" w:rsidP="00835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732E"/>
    <w:multiLevelType w:val="hybridMultilevel"/>
    <w:tmpl w:val="D57A4E9C"/>
    <w:lvl w:ilvl="0" w:tplc="3F16A854">
      <w:start w:val="1"/>
      <w:numFmt w:val="bullet"/>
      <w:lvlText w:val=""/>
      <w:lvlJc w:val="left"/>
      <w:pPr>
        <w:ind w:left="720" w:hanging="360"/>
      </w:pPr>
      <w:rPr>
        <w:rFonts w:ascii="Symbol" w:hAnsi="Symbol" w:hint="default"/>
        <w:b w:val="0"/>
        <w:i w:val="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2F5242"/>
    <w:multiLevelType w:val="hybridMultilevel"/>
    <w:tmpl w:val="F1D053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871157"/>
    <w:multiLevelType w:val="hybridMultilevel"/>
    <w:tmpl w:val="EF226D0E"/>
    <w:lvl w:ilvl="0" w:tplc="04100001">
      <w:start w:val="1"/>
      <w:numFmt w:val="bullet"/>
      <w:lvlText w:val=""/>
      <w:lvlJc w:val="left"/>
      <w:pPr>
        <w:ind w:left="720" w:hanging="360"/>
      </w:pPr>
      <w:rPr>
        <w:rFonts w:ascii="Symbol" w:hAnsi="Symbol" w:hint="default"/>
      </w:rPr>
    </w:lvl>
    <w:lvl w:ilvl="1" w:tplc="3F16A854">
      <w:start w:val="1"/>
      <w:numFmt w:val="bullet"/>
      <w:lvlText w:val=""/>
      <w:lvlJc w:val="left"/>
      <w:pPr>
        <w:ind w:left="1440" w:hanging="360"/>
      </w:pPr>
      <w:rPr>
        <w:rFonts w:ascii="Symbol" w:hAnsi="Symbol" w:hint="default"/>
        <w:b w:val="0"/>
        <w:i w:val="0"/>
        <w:sz w:val="20"/>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B27B72"/>
    <w:multiLevelType w:val="hybridMultilevel"/>
    <w:tmpl w:val="475E483A"/>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 w15:restartNumberingAfterBreak="0">
    <w:nsid w:val="19E102F7"/>
    <w:multiLevelType w:val="hybridMultilevel"/>
    <w:tmpl w:val="CDE081C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8226DA"/>
    <w:multiLevelType w:val="hybridMultilevel"/>
    <w:tmpl w:val="3C24B0FA"/>
    <w:lvl w:ilvl="0" w:tplc="04100001">
      <w:start w:val="1"/>
      <w:numFmt w:val="bullet"/>
      <w:lvlText w:val=""/>
      <w:lvlJc w:val="left"/>
      <w:pPr>
        <w:ind w:left="720" w:hanging="360"/>
      </w:pPr>
      <w:rPr>
        <w:rFonts w:ascii="Symbol" w:hAnsi="Symbol" w:hint="default"/>
      </w:rPr>
    </w:lvl>
    <w:lvl w:ilvl="1" w:tplc="1EACF154">
      <w:numFmt w:val="bullet"/>
      <w:lvlText w:val=""/>
      <w:lvlJc w:val="left"/>
      <w:pPr>
        <w:ind w:left="1440" w:hanging="360"/>
      </w:pPr>
      <w:rPr>
        <w:rFonts w:ascii="Symbol" w:eastAsiaTheme="minorHAnsi" w:hAnsi="Symbol"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1CF3654"/>
    <w:multiLevelType w:val="multilevel"/>
    <w:tmpl w:val="0A907B16"/>
    <w:lvl w:ilvl="0">
      <w:start w:val="2"/>
      <w:numFmt w:val="decimal"/>
      <w:pStyle w:val="Titolo1"/>
      <w:lvlText w:val="%1"/>
      <w:lvlJc w:val="left"/>
      <w:pPr>
        <w:ind w:left="432" w:hanging="432"/>
      </w:pPr>
      <w:rPr>
        <w:rFonts w:hint="default"/>
      </w:rPr>
    </w:lvl>
    <w:lvl w:ilvl="1">
      <w:start w:val="1"/>
      <w:numFmt w:val="bullet"/>
      <w:lvlText w:val=""/>
      <w:lvlJc w:val="left"/>
      <w:pPr>
        <w:ind w:left="576" w:hanging="576"/>
      </w:pPr>
      <w:rPr>
        <w:rFonts w:ascii="Symbol" w:hAnsi="Symbol" w:hint="default"/>
      </w:rPr>
    </w:lvl>
    <w:lvl w:ilvl="2">
      <w:start w:val="1"/>
      <w:numFmt w:val="decimal"/>
      <w:pStyle w:val="Titolo3"/>
      <w:lvlText w:val="%1.%2.%3"/>
      <w:lvlJc w:val="left"/>
      <w:pPr>
        <w:ind w:left="720" w:hanging="720"/>
      </w:pPr>
      <w:rPr>
        <w:rFonts w:hint="default"/>
      </w:rPr>
    </w:lvl>
    <w:lvl w:ilvl="3">
      <w:start w:val="1"/>
      <w:numFmt w:val="decimal"/>
      <w:pStyle w:val="Titolo4"/>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7" w15:restartNumberingAfterBreak="0">
    <w:nsid w:val="2E8302B0"/>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FF80B2C"/>
    <w:multiLevelType w:val="hybridMultilevel"/>
    <w:tmpl w:val="824C055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64E15D9"/>
    <w:multiLevelType w:val="hybridMultilevel"/>
    <w:tmpl w:val="B964E0D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15:restartNumberingAfterBreak="0">
    <w:nsid w:val="36801231"/>
    <w:multiLevelType w:val="hybridMultilevel"/>
    <w:tmpl w:val="4734FE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CC87B03"/>
    <w:multiLevelType w:val="hybridMultilevel"/>
    <w:tmpl w:val="00425E7C"/>
    <w:lvl w:ilvl="0" w:tplc="04100001">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FB421EA"/>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5A7134"/>
    <w:multiLevelType w:val="hybridMultilevel"/>
    <w:tmpl w:val="646C1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390359A"/>
    <w:multiLevelType w:val="hybridMultilevel"/>
    <w:tmpl w:val="22D6C05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D249D0"/>
    <w:multiLevelType w:val="hybridMultilevel"/>
    <w:tmpl w:val="6E2CE8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81A4E51"/>
    <w:multiLevelType w:val="hybridMultilevel"/>
    <w:tmpl w:val="B85639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AA851D2"/>
    <w:multiLevelType w:val="hybridMultilevel"/>
    <w:tmpl w:val="490489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42E2A48"/>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D641653"/>
    <w:multiLevelType w:val="hybridMultilevel"/>
    <w:tmpl w:val="07E670FE"/>
    <w:lvl w:ilvl="0" w:tplc="04100001">
      <w:start w:val="1"/>
      <w:numFmt w:val="bullet"/>
      <w:lvlText w:val=""/>
      <w:lvlJc w:val="left"/>
      <w:pPr>
        <w:ind w:left="720" w:hanging="360"/>
      </w:pPr>
      <w:rPr>
        <w:rFonts w:ascii="Symbol" w:hAnsi="Symbol" w:hint="default"/>
      </w:rPr>
    </w:lvl>
    <w:lvl w:ilvl="1" w:tplc="34E80606">
      <w:start w:val="1"/>
      <w:numFmt w:val="bullet"/>
      <w:lvlText w:val=""/>
      <w:lvlJc w:val="left"/>
      <w:pPr>
        <w:ind w:left="1440" w:hanging="360"/>
      </w:pPr>
      <w:rPr>
        <w:rFonts w:ascii="Symbol" w:eastAsiaTheme="minorHAnsi" w:hAnsi="Symbol"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3DD7136"/>
    <w:multiLevelType w:val="hybridMultilevel"/>
    <w:tmpl w:val="F3E67DA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907E52"/>
    <w:multiLevelType w:val="hybridMultilevel"/>
    <w:tmpl w:val="C5BE97A4"/>
    <w:lvl w:ilvl="0" w:tplc="04100005">
      <w:start w:val="1"/>
      <w:numFmt w:val="bullet"/>
      <w:lvlText w:val=""/>
      <w:lvlJc w:val="left"/>
      <w:pPr>
        <w:ind w:left="720" w:hanging="360"/>
      </w:pPr>
      <w:rPr>
        <w:rFonts w:ascii="Wingdings" w:hAnsi="Wingdings" w:hint="default"/>
      </w:rPr>
    </w:lvl>
    <w:lvl w:ilvl="1" w:tplc="04100005">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70AD6D27"/>
    <w:multiLevelType w:val="hybridMultilevel"/>
    <w:tmpl w:val="CF6257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131640"/>
    <w:multiLevelType w:val="hybridMultilevel"/>
    <w:tmpl w:val="A4E6741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424500E"/>
    <w:multiLevelType w:val="hybridMultilevel"/>
    <w:tmpl w:val="B992CD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7C4895"/>
    <w:multiLevelType w:val="hybridMultilevel"/>
    <w:tmpl w:val="9392D33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17"/>
  </w:num>
  <w:num w:numId="2">
    <w:abstractNumId w:val="13"/>
  </w:num>
  <w:num w:numId="3">
    <w:abstractNumId w:val="6"/>
  </w:num>
  <w:num w:numId="4">
    <w:abstractNumId w:val="5"/>
  </w:num>
  <w:num w:numId="5">
    <w:abstractNumId w:val="19"/>
  </w:num>
  <w:num w:numId="6">
    <w:abstractNumId w:val="2"/>
  </w:num>
  <w:num w:numId="7">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2"/>
  </w:num>
  <w:num w:numId="10">
    <w:abstractNumId w:val="18"/>
  </w:num>
  <w:num w:numId="11">
    <w:abstractNumId w:val="1"/>
  </w:num>
  <w:num w:numId="12">
    <w:abstractNumId w:val="10"/>
  </w:num>
  <w:num w:numId="13">
    <w:abstractNumId w:val="0"/>
  </w:num>
  <w:num w:numId="14">
    <w:abstractNumId w:val="3"/>
  </w:num>
  <w:num w:numId="15">
    <w:abstractNumId w:val="25"/>
  </w:num>
  <w:num w:numId="16">
    <w:abstractNumId w:val="9"/>
  </w:num>
  <w:num w:numId="17">
    <w:abstractNumId w:val="15"/>
  </w:num>
  <w:num w:numId="18">
    <w:abstractNumId w:val="16"/>
  </w:num>
  <w:num w:numId="19">
    <w:abstractNumId w:val="22"/>
  </w:num>
  <w:num w:numId="20">
    <w:abstractNumId w:val="11"/>
  </w:num>
  <w:num w:numId="21">
    <w:abstractNumId w:val="21"/>
  </w:num>
  <w:num w:numId="22">
    <w:abstractNumId w:val="14"/>
  </w:num>
  <w:num w:numId="23">
    <w:abstractNumId w:val="24"/>
  </w:num>
  <w:num w:numId="24">
    <w:abstractNumId w:val="8"/>
  </w:num>
  <w:num w:numId="25">
    <w:abstractNumId w:val="23"/>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hideSpellingErrors/>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2A0"/>
    <w:rsid w:val="0000533A"/>
    <w:rsid w:val="00006F6C"/>
    <w:rsid w:val="00013144"/>
    <w:rsid w:val="000210FB"/>
    <w:rsid w:val="00023032"/>
    <w:rsid w:val="00042EF7"/>
    <w:rsid w:val="000767DF"/>
    <w:rsid w:val="000877AA"/>
    <w:rsid w:val="000A182B"/>
    <w:rsid w:val="000A7133"/>
    <w:rsid w:val="000C708F"/>
    <w:rsid w:val="000D6BEF"/>
    <w:rsid w:val="000E27F8"/>
    <w:rsid w:val="000E62A0"/>
    <w:rsid w:val="000F28CA"/>
    <w:rsid w:val="000F6C57"/>
    <w:rsid w:val="000F7973"/>
    <w:rsid w:val="0011062B"/>
    <w:rsid w:val="0012517C"/>
    <w:rsid w:val="00135233"/>
    <w:rsid w:val="0014090C"/>
    <w:rsid w:val="001446A2"/>
    <w:rsid w:val="001C6D8D"/>
    <w:rsid w:val="001F1A9C"/>
    <w:rsid w:val="00226FB8"/>
    <w:rsid w:val="00237030"/>
    <w:rsid w:val="00240397"/>
    <w:rsid w:val="002628AE"/>
    <w:rsid w:val="00265AED"/>
    <w:rsid w:val="00272EBC"/>
    <w:rsid w:val="002F189B"/>
    <w:rsid w:val="002F2C90"/>
    <w:rsid w:val="00343BBD"/>
    <w:rsid w:val="00374603"/>
    <w:rsid w:val="003B1ACB"/>
    <w:rsid w:val="003C1AB9"/>
    <w:rsid w:val="003D36E2"/>
    <w:rsid w:val="003D6F4F"/>
    <w:rsid w:val="003E483E"/>
    <w:rsid w:val="003F5CA7"/>
    <w:rsid w:val="00406793"/>
    <w:rsid w:val="00411845"/>
    <w:rsid w:val="0042007C"/>
    <w:rsid w:val="0042265F"/>
    <w:rsid w:val="0044674A"/>
    <w:rsid w:val="00454BAE"/>
    <w:rsid w:val="00460BAB"/>
    <w:rsid w:val="00464448"/>
    <w:rsid w:val="004832A5"/>
    <w:rsid w:val="004A02FD"/>
    <w:rsid w:val="004B04C0"/>
    <w:rsid w:val="004E0351"/>
    <w:rsid w:val="004E4AC9"/>
    <w:rsid w:val="00512169"/>
    <w:rsid w:val="00516A4D"/>
    <w:rsid w:val="005170B0"/>
    <w:rsid w:val="00541AFA"/>
    <w:rsid w:val="00543CC5"/>
    <w:rsid w:val="00544AA3"/>
    <w:rsid w:val="0057633F"/>
    <w:rsid w:val="00582983"/>
    <w:rsid w:val="005B5EA3"/>
    <w:rsid w:val="005C4ED7"/>
    <w:rsid w:val="005D1617"/>
    <w:rsid w:val="005D167E"/>
    <w:rsid w:val="005D16AB"/>
    <w:rsid w:val="005F0C66"/>
    <w:rsid w:val="005F7DBE"/>
    <w:rsid w:val="00607E50"/>
    <w:rsid w:val="00656656"/>
    <w:rsid w:val="00672621"/>
    <w:rsid w:val="00682305"/>
    <w:rsid w:val="006962BD"/>
    <w:rsid w:val="006A3724"/>
    <w:rsid w:val="006A4409"/>
    <w:rsid w:val="006D1C78"/>
    <w:rsid w:val="006D43F6"/>
    <w:rsid w:val="006F40D4"/>
    <w:rsid w:val="00703563"/>
    <w:rsid w:val="00703C1E"/>
    <w:rsid w:val="00736FA5"/>
    <w:rsid w:val="00737E80"/>
    <w:rsid w:val="007409DB"/>
    <w:rsid w:val="007503FB"/>
    <w:rsid w:val="00750D4D"/>
    <w:rsid w:val="0076118E"/>
    <w:rsid w:val="00770AA6"/>
    <w:rsid w:val="007A0F6D"/>
    <w:rsid w:val="007C308C"/>
    <w:rsid w:val="007D6F8C"/>
    <w:rsid w:val="00800086"/>
    <w:rsid w:val="008103E9"/>
    <w:rsid w:val="00815BF1"/>
    <w:rsid w:val="008262A6"/>
    <w:rsid w:val="00835204"/>
    <w:rsid w:val="00862086"/>
    <w:rsid w:val="0087712C"/>
    <w:rsid w:val="008862E1"/>
    <w:rsid w:val="008B14E2"/>
    <w:rsid w:val="008B51A1"/>
    <w:rsid w:val="008B5BD3"/>
    <w:rsid w:val="008C1681"/>
    <w:rsid w:val="008E1842"/>
    <w:rsid w:val="008F1079"/>
    <w:rsid w:val="00917E87"/>
    <w:rsid w:val="009220A5"/>
    <w:rsid w:val="0093274D"/>
    <w:rsid w:val="00955F13"/>
    <w:rsid w:val="00961E6C"/>
    <w:rsid w:val="009767A7"/>
    <w:rsid w:val="009B47BD"/>
    <w:rsid w:val="009D6C5D"/>
    <w:rsid w:val="009E66FF"/>
    <w:rsid w:val="009F6DA3"/>
    <w:rsid w:val="009F701A"/>
    <w:rsid w:val="00A1308A"/>
    <w:rsid w:val="00A14B94"/>
    <w:rsid w:val="00A27C0B"/>
    <w:rsid w:val="00A30E3C"/>
    <w:rsid w:val="00A42491"/>
    <w:rsid w:val="00A636C6"/>
    <w:rsid w:val="00AA3E86"/>
    <w:rsid w:val="00AB2199"/>
    <w:rsid w:val="00AC753A"/>
    <w:rsid w:val="00B127FE"/>
    <w:rsid w:val="00B872E6"/>
    <w:rsid w:val="00BA1335"/>
    <w:rsid w:val="00BA7068"/>
    <w:rsid w:val="00BC2337"/>
    <w:rsid w:val="00BC6EB9"/>
    <w:rsid w:val="00C15081"/>
    <w:rsid w:val="00C43629"/>
    <w:rsid w:val="00C46D7C"/>
    <w:rsid w:val="00C767CE"/>
    <w:rsid w:val="00C802D7"/>
    <w:rsid w:val="00C9417B"/>
    <w:rsid w:val="00CA172A"/>
    <w:rsid w:val="00CC089A"/>
    <w:rsid w:val="00CF5107"/>
    <w:rsid w:val="00D03E2F"/>
    <w:rsid w:val="00D16C27"/>
    <w:rsid w:val="00D56039"/>
    <w:rsid w:val="00D70825"/>
    <w:rsid w:val="00D75835"/>
    <w:rsid w:val="00D817D5"/>
    <w:rsid w:val="00D93DB4"/>
    <w:rsid w:val="00DB7B02"/>
    <w:rsid w:val="00DE147B"/>
    <w:rsid w:val="00DF0EB7"/>
    <w:rsid w:val="00DF12C6"/>
    <w:rsid w:val="00DF4F75"/>
    <w:rsid w:val="00E356BA"/>
    <w:rsid w:val="00E71BEA"/>
    <w:rsid w:val="00E9743F"/>
    <w:rsid w:val="00EC5527"/>
    <w:rsid w:val="00EE1619"/>
    <w:rsid w:val="00F03F76"/>
    <w:rsid w:val="00F05FF6"/>
    <w:rsid w:val="00F15D04"/>
    <w:rsid w:val="00F17259"/>
    <w:rsid w:val="00F33914"/>
    <w:rsid w:val="00F40E1C"/>
    <w:rsid w:val="00F91701"/>
    <w:rsid w:val="00FD1F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1392D"/>
  <w15:chartTrackingRefBased/>
  <w15:docId w15:val="{94905489-9701-444E-B942-DE9D93F1A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835204"/>
    <w:pPr>
      <w:keepNext/>
      <w:keepLines/>
      <w:numPr>
        <w:numId w:val="3"/>
      </w:numPr>
      <w:spacing w:before="24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autoRedefine/>
    <w:uiPriority w:val="9"/>
    <w:unhideWhenUsed/>
    <w:qFormat/>
    <w:rsid w:val="00D817D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835204"/>
    <w:pPr>
      <w:keepNext/>
      <w:keepLines/>
      <w:numPr>
        <w:ilvl w:val="2"/>
        <w:numId w:val="3"/>
      </w:numPr>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835204"/>
    <w:pPr>
      <w:keepNext/>
      <w:keepLines/>
      <w:numPr>
        <w:ilvl w:val="3"/>
        <w:numId w:val="3"/>
      </w:numPr>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35204"/>
    <w:pPr>
      <w:keepNext/>
      <w:keepLines/>
      <w:numPr>
        <w:ilvl w:val="4"/>
        <w:numId w:val="3"/>
      </w:numPr>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835204"/>
    <w:pPr>
      <w:keepNext/>
      <w:keepLines/>
      <w:numPr>
        <w:ilvl w:val="5"/>
        <w:numId w:val="3"/>
      </w:numPr>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835204"/>
    <w:pPr>
      <w:keepNext/>
      <w:keepLines/>
      <w:numPr>
        <w:ilvl w:val="6"/>
        <w:numId w:val="3"/>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83520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35204"/>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E62A0"/>
    <w:pPr>
      <w:autoSpaceDE w:val="0"/>
      <w:autoSpaceDN w:val="0"/>
      <w:adjustRightInd w:val="0"/>
    </w:pPr>
    <w:rPr>
      <w:rFonts w:ascii="NCFLW L+ Gotham Narrow" w:hAnsi="NCFLW L+ Gotham Narrow" w:cs="NCFLW L+ Gotham Narrow"/>
      <w:color w:val="000000"/>
      <w:sz w:val="24"/>
      <w:szCs w:val="24"/>
    </w:rPr>
  </w:style>
  <w:style w:type="character" w:customStyle="1" w:styleId="A0">
    <w:name w:val="A0"/>
    <w:uiPriority w:val="99"/>
    <w:rsid w:val="000E62A0"/>
    <w:rPr>
      <w:rFonts w:cs="NCFLW L+ Gotham Narrow"/>
      <w:color w:val="000000"/>
      <w:sz w:val="54"/>
      <w:szCs w:val="54"/>
    </w:rPr>
  </w:style>
  <w:style w:type="paragraph" w:customStyle="1" w:styleId="Pa1">
    <w:name w:val="Pa1"/>
    <w:basedOn w:val="Default"/>
    <w:next w:val="Default"/>
    <w:uiPriority w:val="99"/>
    <w:rsid w:val="000E62A0"/>
    <w:pPr>
      <w:spacing w:line="241" w:lineRule="atLeast"/>
    </w:pPr>
    <w:rPr>
      <w:rFonts w:cstheme="minorBidi"/>
      <w:color w:val="auto"/>
    </w:rPr>
  </w:style>
  <w:style w:type="paragraph" w:customStyle="1" w:styleId="Pa2">
    <w:name w:val="Pa2"/>
    <w:basedOn w:val="Default"/>
    <w:next w:val="Default"/>
    <w:uiPriority w:val="99"/>
    <w:rsid w:val="000E62A0"/>
    <w:pPr>
      <w:spacing w:line="211" w:lineRule="atLeast"/>
    </w:pPr>
    <w:rPr>
      <w:rFonts w:cstheme="minorBidi"/>
      <w:color w:val="auto"/>
    </w:rPr>
  </w:style>
  <w:style w:type="character" w:customStyle="1" w:styleId="A2">
    <w:name w:val="A2"/>
    <w:uiPriority w:val="99"/>
    <w:rsid w:val="000E62A0"/>
    <w:rPr>
      <w:rFonts w:cs="NCFLW L+ Gotham Narrow"/>
      <w:color w:val="000000"/>
      <w:sz w:val="22"/>
      <w:szCs w:val="22"/>
    </w:rPr>
  </w:style>
  <w:style w:type="paragraph" w:customStyle="1" w:styleId="Pa3">
    <w:name w:val="Pa3"/>
    <w:basedOn w:val="Default"/>
    <w:next w:val="Default"/>
    <w:uiPriority w:val="99"/>
    <w:rsid w:val="000E62A0"/>
    <w:pPr>
      <w:spacing w:line="211" w:lineRule="atLeast"/>
    </w:pPr>
    <w:rPr>
      <w:rFonts w:cstheme="minorBidi"/>
      <w:color w:val="auto"/>
    </w:rPr>
  </w:style>
  <w:style w:type="paragraph" w:customStyle="1" w:styleId="PreformattedText">
    <w:name w:val="Preformatted Text"/>
    <w:basedOn w:val="Normale"/>
    <w:qFormat/>
    <w:rsid w:val="00AC753A"/>
    <w:pPr>
      <w:widowControl w:val="0"/>
    </w:pPr>
    <w:rPr>
      <w:rFonts w:ascii="Liberation Mono" w:eastAsia="AR PL SungtiL GB" w:hAnsi="Liberation Mono" w:cs="Liberation Mono"/>
      <w:sz w:val="20"/>
      <w:szCs w:val="20"/>
      <w:lang w:val="en-US" w:eastAsia="zh-CN" w:bidi="hi-IN"/>
    </w:rPr>
  </w:style>
  <w:style w:type="paragraph" w:styleId="Paragrafoelenco">
    <w:name w:val="List Paragraph"/>
    <w:basedOn w:val="Normale"/>
    <w:uiPriority w:val="34"/>
    <w:qFormat/>
    <w:rsid w:val="00815BF1"/>
    <w:pPr>
      <w:ind w:left="720"/>
      <w:contextualSpacing/>
    </w:pPr>
  </w:style>
  <w:style w:type="character" w:styleId="Collegamentoipertestuale">
    <w:name w:val="Hyperlink"/>
    <w:basedOn w:val="Carpredefinitoparagrafo"/>
    <w:uiPriority w:val="99"/>
    <w:unhideWhenUsed/>
    <w:rsid w:val="0076118E"/>
    <w:rPr>
      <w:color w:val="0563C1" w:themeColor="hyperlink"/>
      <w:u w:val="single"/>
    </w:rPr>
  </w:style>
  <w:style w:type="paragraph" w:styleId="Intestazione">
    <w:name w:val="header"/>
    <w:basedOn w:val="Normale"/>
    <w:link w:val="IntestazioneCarattere"/>
    <w:uiPriority w:val="99"/>
    <w:unhideWhenUsed/>
    <w:rsid w:val="00835204"/>
    <w:pPr>
      <w:tabs>
        <w:tab w:val="center" w:pos="4819"/>
        <w:tab w:val="right" w:pos="9638"/>
      </w:tabs>
    </w:pPr>
  </w:style>
  <w:style w:type="character" w:customStyle="1" w:styleId="IntestazioneCarattere">
    <w:name w:val="Intestazione Carattere"/>
    <w:basedOn w:val="Carpredefinitoparagrafo"/>
    <w:link w:val="Intestazione"/>
    <w:uiPriority w:val="99"/>
    <w:rsid w:val="00835204"/>
  </w:style>
  <w:style w:type="paragraph" w:styleId="Pidipagina">
    <w:name w:val="footer"/>
    <w:basedOn w:val="Normale"/>
    <w:link w:val="PidipaginaCarattere"/>
    <w:uiPriority w:val="99"/>
    <w:unhideWhenUsed/>
    <w:rsid w:val="00835204"/>
    <w:pPr>
      <w:tabs>
        <w:tab w:val="center" w:pos="4819"/>
        <w:tab w:val="right" w:pos="9638"/>
      </w:tabs>
    </w:pPr>
  </w:style>
  <w:style w:type="character" w:customStyle="1" w:styleId="PidipaginaCarattere">
    <w:name w:val="Piè di pagina Carattere"/>
    <w:basedOn w:val="Carpredefinitoparagrafo"/>
    <w:link w:val="Pidipagina"/>
    <w:uiPriority w:val="99"/>
    <w:rsid w:val="00835204"/>
  </w:style>
  <w:style w:type="character" w:customStyle="1" w:styleId="Titolo1Carattere">
    <w:name w:val="Titolo 1 Carattere"/>
    <w:basedOn w:val="Carpredefinitoparagrafo"/>
    <w:link w:val="Titolo1"/>
    <w:uiPriority w:val="9"/>
    <w:rsid w:val="00835204"/>
    <w:rPr>
      <w:rFonts w:asciiTheme="majorHAnsi" w:eastAsiaTheme="majorEastAsia" w:hAnsiTheme="majorHAnsi" w:cstheme="majorBidi"/>
      <w:color w:val="2E74B5" w:themeColor="accent1" w:themeShade="BF"/>
      <w:sz w:val="32"/>
      <w:szCs w:val="32"/>
    </w:rPr>
  </w:style>
  <w:style w:type="character" w:customStyle="1" w:styleId="Titolo2Carattere">
    <w:name w:val="Titolo 2 Carattere"/>
    <w:basedOn w:val="Carpredefinitoparagrafo"/>
    <w:link w:val="Titolo2"/>
    <w:uiPriority w:val="9"/>
    <w:rsid w:val="00D817D5"/>
    <w:rPr>
      <w:rFonts w:asciiTheme="majorHAnsi" w:eastAsiaTheme="majorEastAsia" w:hAnsiTheme="majorHAnsi" w:cstheme="majorBidi"/>
      <w:color w:val="2E74B5" w:themeColor="accent1" w:themeShade="BF"/>
      <w:sz w:val="26"/>
      <w:szCs w:val="26"/>
    </w:rPr>
  </w:style>
  <w:style w:type="character" w:customStyle="1" w:styleId="Titolo3Carattere">
    <w:name w:val="Titolo 3 Carattere"/>
    <w:basedOn w:val="Carpredefinitoparagrafo"/>
    <w:link w:val="Titolo3"/>
    <w:uiPriority w:val="9"/>
    <w:rsid w:val="00835204"/>
    <w:rPr>
      <w:rFonts w:asciiTheme="majorHAnsi" w:eastAsiaTheme="majorEastAsia" w:hAnsiTheme="majorHAnsi" w:cstheme="majorBidi"/>
      <w:color w:val="1F4D78" w:themeColor="accent1" w:themeShade="7F"/>
      <w:sz w:val="24"/>
      <w:szCs w:val="24"/>
    </w:rPr>
  </w:style>
  <w:style w:type="character" w:customStyle="1" w:styleId="Titolo4Carattere">
    <w:name w:val="Titolo 4 Carattere"/>
    <w:basedOn w:val="Carpredefinitoparagrafo"/>
    <w:link w:val="Titolo4"/>
    <w:uiPriority w:val="9"/>
    <w:semiHidden/>
    <w:rsid w:val="00835204"/>
    <w:rPr>
      <w:rFonts w:asciiTheme="majorHAnsi" w:eastAsiaTheme="majorEastAsia" w:hAnsiTheme="majorHAnsi" w:cstheme="majorBidi"/>
      <w:i/>
      <w:iCs/>
      <w:color w:val="2E74B5" w:themeColor="accent1" w:themeShade="BF"/>
    </w:rPr>
  </w:style>
  <w:style w:type="character" w:customStyle="1" w:styleId="Titolo5Carattere">
    <w:name w:val="Titolo 5 Carattere"/>
    <w:basedOn w:val="Carpredefinitoparagrafo"/>
    <w:link w:val="Titolo5"/>
    <w:uiPriority w:val="9"/>
    <w:semiHidden/>
    <w:rsid w:val="00835204"/>
    <w:rPr>
      <w:rFonts w:asciiTheme="majorHAnsi" w:eastAsiaTheme="majorEastAsia" w:hAnsiTheme="majorHAnsi" w:cstheme="majorBidi"/>
      <w:color w:val="2E74B5" w:themeColor="accent1" w:themeShade="BF"/>
    </w:rPr>
  </w:style>
  <w:style w:type="character" w:customStyle="1" w:styleId="Titolo6Carattere">
    <w:name w:val="Titolo 6 Carattere"/>
    <w:basedOn w:val="Carpredefinitoparagrafo"/>
    <w:link w:val="Titolo6"/>
    <w:uiPriority w:val="9"/>
    <w:semiHidden/>
    <w:rsid w:val="00835204"/>
    <w:rPr>
      <w:rFonts w:asciiTheme="majorHAnsi" w:eastAsiaTheme="majorEastAsia" w:hAnsiTheme="majorHAnsi" w:cstheme="majorBidi"/>
      <w:color w:val="1F4D78" w:themeColor="accent1" w:themeShade="7F"/>
    </w:rPr>
  </w:style>
  <w:style w:type="character" w:customStyle="1" w:styleId="Titolo7Carattere">
    <w:name w:val="Titolo 7 Carattere"/>
    <w:basedOn w:val="Carpredefinitoparagrafo"/>
    <w:link w:val="Titolo7"/>
    <w:uiPriority w:val="9"/>
    <w:semiHidden/>
    <w:rsid w:val="00835204"/>
    <w:rPr>
      <w:rFonts w:asciiTheme="majorHAnsi" w:eastAsiaTheme="majorEastAsia" w:hAnsiTheme="majorHAnsi" w:cstheme="majorBidi"/>
      <w:i/>
      <w:iCs/>
      <w:color w:val="1F4D78" w:themeColor="accent1" w:themeShade="7F"/>
    </w:rPr>
  </w:style>
  <w:style w:type="character" w:customStyle="1" w:styleId="Titolo8Carattere">
    <w:name w:val="Titolo 8 Carattere"/>
    <w:basedOn w:val="Carpredefinitoparagrafo"/>
    <w:link w:val="Titolo8"/>
    <w:uiPriority w:val="9"/>
    <w:semiHidden/>
    <w:rsid w:val="00835204"/>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835204"/>
    <w:rPr>
      <w:rFonts w:asciiTheme="majorHAnsi" w:eastAsiaTheme="majorEastAsia" w:hAnsiTheme="majorHAnsi" w:cstheme="majorBidi"/>
      <w:i/>
      <w:iCs/>
      <w:color w:val="272727" w:themeColor="text1" w:themeTint="D8"/>
      <w:sz w:val="21"/>
      <w:szCs w:val="21"/>
    </w:rPr>
  </w:style>
  <w:style w:type="paragraph" w:styleId="Nessunaspaziatura">
    <w:name w:val="No Spacing"/>
    <w:uiPriority w:val="1"/>
    <w:qFormat/>
    <w:rsid w:val="00D817D5"/>
  </w:style>
  <w:style w:type="paragraph" w:styleId="Didascalia">
    <w:name w:val="caption"/>
    <w:basedOn w:val="Normale"/>
    <w:next w:val="Normale"/>
    <w:uiPriority w:val="35"/>
    <w:unhideWhenUsed/>
    <w:qFormat/>
    <w:rsid w:val="0068230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iopiferi.it/" TargetMode="Externa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42" Type="http://schemas.openxmlformats.org/officeDocument/2006/relationships/image" Target="media/image31.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hyperlink" Target="http://www.spc.noaa.gov/publications/corfidi/sunset/" TargetMode="Externa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2.emf"/><Relationship Id="rId19" Type="http://schemas.openxmlformats.org/officeDocument/2006/relationships/image" Target="media/image9.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spc.noaa.gov/publications/corfidi/sunset" TargetMode="External"/><Relationship Id="rId22" Type="http://schemas.openxmlformats.org/officeDocument/2006/relationships/image" Target="media/image12.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A6C89-171D-4D1D-BE78-EAD46721C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1809</TotalTime>
  <Pages>53</Pages>
  <Words>19972</Words>
  <Characters>113845</Characters>
  <Application>Microsoft Office Word</Application>
  <DocSecurity>0</DocSecurity>
  <Lines>948</Lines>
  <Paragraphs>267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Fabio</dc:creator>
  <cp:keywords/>
  <dc:description/>
  <cp:lastModifiedBy>Fabio</cp:lastModifiedBy>
  <cp:revision>70</cp:revision>
  <dcterms:created xsi:type="dcterms:W3CDTF">2017-08-03T15:05:00Z</dcterms:created>
  <dcterms:modified xsi:type="dcterms:W3CDTF">2018-04-18T20:02:00Z</dcterms:modified>
</cp:coreProperties>
</file>